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1B466A" w14:textId="53DF0D98" w:rsidR="0067065C" w:rsidRPr="0067065C" w:rsidRDefault="0067065C" w:rsidP="0067065C">
      <w:pPr>
        <w:jc w:val="center"/>
        <w:rPr>
          <w:rFonts w:cstheme="minorHAnsi"/>
          <w:b/>
          <w:bCs/>
          <w:sz w:val="28"/>
          <w:szCs w:val="28"/>
          <w:u w:val="single"/>
          <w:lang w:val="ru-RU"/>
        </w:rPr>
      </w:pPr>
      <w:r w:rsidRPr="0067065C">
        <w:rPr>
          <w:rFonts w:cstheme="minorHAnsi"/>
          <w:b/>
          <w:bCs/>
          <w:sz w:val="28"/>
          <w:szCs w:val="28"/>
          <w:u w:val="single"/>
          <w:lang w:val="ru-RU"/>
        </w:rPr>
        <w:t>ЛЕКЦИЯ 13</w:t>
      </w:r>
    </w:p>
    <w:p w14:paraId="10C2EEB5" w14:textId="77777777" w:rsidR="0067065C" w:rsidRPr="0067065C" w:rsidRDefault="0067065C" w:rsidP="0067065C">
      <w:pPr>
        <w:jc w:val="center"/>
        <w:rPr>
          <w:rFonts w:cstheme="minorHAnsi"/>
          <w:b/>
          <w:bCs/>
          <w:sz w:val="28"/>
          <w:szCs w:val="28"/>
          <w:lang w:val="ru-RU"/>
        </w:rPr>
      </w:pPr>
    </w:p>
    <w:p w14:paraId="7CE81A9C" w14:textId="18E9B040" w:rsidR="00E61390" w:rsidRDefault="00E61390" w:rsidP="0067065C">
      <w:pPr>
        <w:jc w:val="center"/>
        <w:rPr>
          <w:rFonts w:cstheme="minorHAnsi"/>
          <w:sz w:val="28"/>
          <w:szCs w:val="28"/>
          <w:lang w:val="ru-RU"/>
        </w:rPr>
      </w:pPr>
      <w:r w:rsidRPr="0067065C">
        <w:rPr>
          <w:rFonts w:cstheme="minorHAnsi"/>
          <w:b/>
          <w:bCs/>
          <w:sz w:val="28"/>
          <w:szCs w:val="28"/>
          <w:lang w:val="ru-RU"/>
        </w:rPr>
        <w:t>ОТЧЕТНОСТЬ О МИНЕРАЛЬНЫХ ЗАПАСАХ</w:t>
      </w:r>
    </w:p>
    <w:p w14:paraId="7BFF7357" w14:textId="77777777" w:rsidR="0067065C" w:rsidRPr="00382CB1" w:rsidRDefault="0067065C" w:rsidP="00E61390">
      <w:pPr>
        <w:jc w:val="both"/>
        <w:rPr>
          <w:rFonts w:cstheme="minorHAnsi"/>
          <w:sz w:val="28"/>
          <w:szCs w:val="28"/>
          <w:lang w:val="ru-RU"/>
        </w:rPr>
      </w:pPr>
    </w:p>
    <w:p w14:paraId="6F51D100"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31.</w:t>
      </w:r>
      <w:r w:rsidRPr="00382CB1">
        <w:rPr>
          <w:rFonts w:cstheme="minorHAnsi"/>
          <w:sz w:val="28"/>
          <w:szCs w:val="28"/>
          <w:lang w:val="ru-RU"/>
        </w:rPr>
        <w:tab/>
        <w:t>«Минеральные Запасы» – это рентабельная для извлечения часть Измеренных и/или Выявленных Минеральных Ресурсов.</w:t>
      </w:r>
    </w:p>
    <w:p w14:paraId="30CBD06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Они подсчитываются с учетом разубоживания/разбавления и потерь полезного ископаемого при добыче. Количество запасов определяется предварительным технико-  экономическим обоснованием (далее -Предварительное ТЭО) или детальным технико-  экономическим обоснованием (далее Детальное ТЭО) с учетом всех Модифицирующих Факторов.</w:t>
      </w:r>
    </w:p>
    <w:p w14:paraId="1607E74D"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Такие исследования показывают, что на момент представления отчетной информации извлечение полезного ископаемого можно считать в достаточной степени обоснованным.</w:t>
      </w:r>
    </w:p>
    <w:p w14:paraId="4841388F"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За точку отсчета, в которой определяются Запасы, как правило, принимают момент, когда руда поступает на обогатительную фабрику, и она должна быть указана в отчёте. Важно, чтобы во всех случаях, когда принимается иная точка отсчёта, например, для товарной продукции, было дано уточняющее разъяснение, чтобы читатель был полностью информирован относительно того, что именно указано в отчете.</w:t>
      </w:r>
    </w:p>
    <w:p w14:paraId="092399A6"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Минеральные Запасы – это те количества Минеральных Ресурсов, которые после учета всех горно-геологических факторов приводят к оценке количества и качества полезного ископаемого, которые, по мнению Компетентного Лица, производившего оценку, могут быть основой жизнеспособного проекта при условии учета всех Модифицирующих Факторов.</w:t>
      </w:r>
    </w:p>
    <w:p w14:paraId="35CA24A9"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Для достижения необходимого уровня достоверности Минеральных Запасов и исследования всех Модифицирующих Факторов, Предварительное Технико- экономическое обоснование или Детальное Технико-экономическое обоснование должны быть выполнены до определения Минеральных Запасов. Такие исследования должны определить план горных работ, который должен быть технически осуществимым и экономически обоснованным и на основании которого и будут определены Минеральные Запасы.</w:t>
      </w:r>
    </w:p>
    <w:p w14:paraId="26ED3971"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При публикации Минеральных Запасов информация по оценке степени извлечения полезных компонентов при переработке является существенной и должна во всех случаях включаться в Публичный Отчет.</w:t>
      </w:r>
    </w:p>
    <w:p w14:paraId="75C179EA"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Термин «экономически извлекаемые» означает, что извлечение Минеральных Запасов возможно и подтверждено с учётом обоснованных финансовых допущений. Значение термина «реалистично допустимый» может изменяться в зависимости от типа месторождения, полноты проведенных исследований и финансовых критериев конкретной Компании. По этой причине нельзя привести фиксированного определение термина «экономически извлекаемые». При этом предполагается, что компании, естественно, будут стремиться к получению приемлемого дохода на вложенный капитал,  и доходы  инвесторов в  рамках проекта будут  </w:t>
      </w:r>
      <w:r w:rsidRPr="00382CB1">
        <w:rPr>
          <w:rFonts w:cstheme="minorHAnsi"/>
          <w:sz w:val="28"/>
          <w:szCs w:val="28"/>
          <w:lang w:val="ru-RU"/>
        </w:rPr>
        <w:lastRenderedPageBreak/>
        <w:t>конкурентоспособными  по отношению к альтернативным вариантам вложения капитала с сопоставимым уровнем риска.</w:t>
      </w:r>
    </w:p>
    <w:p w14:paraId="1A6F0C5B"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При этом Компетентное Лицо должно (по возможности) доводить до сведения Пользователей Публичного Отчета цены на товарную продукцию, использовавшиеся при оценке стоимости минеральных активов, и раскрывать методологию их определения. В тех случаях, когда товарные продукты реализуются в соответствии с действующими контрактами, оценка стоимости минеральных активов должна производиться с использованием контрактных цен.</w:t>
      </w:r>
    </w:p>
    <w:p w14:paraId="3139CCC3"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Термин «Минеральные Запасы» не обязательно предполагает, что горнодобывающее предприятие уже построено или действует, или что все необходимые разрешения получены, а контракты на продажу заключены. Он предполагает, что есть разумные ожидания получения таких разрешений или контрактов. В данном случае Компетентное Лицо должно оценить, насколько существенными являются те или иные нерешенные проблемы, которые зависят от третьей стороны и предопределяют разработку месторождения (извлечение Минеральных Запасов).</w:t>
      </w:r>
    </w:p>
    <w:p w14:paraId="1171162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Любые корректировки Отчетных данных для проведения оценки Минеральных Запасов, к примеру, путем ограничения влияния аномально высоких содержаний, должны быть ясно обозначены и изложены в Публичном Отчете.</w:t>
      </w:r>
    </w:p>
    <w:p w14:paraId="3A6CA52C"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Следует отметить, что из Кодекса </w:t>
      </w:r>
      <w:r w:rsidRPr="00382CB1">
        <w:rPr>
          <w:rFonts w:cstheme="minorHAnsi"/>
          <w:sz w:val="28"/>
          <w:szCs w:val="28"/>
        </w:rPr>
        <w:t>KAZRC</w:t>
      </w:r>
      <w:r w:rsidRPr="00382CB1">
        <w:rPr>
          <w:rFonts w:cstheme="minorHAnsi"/>
          <w:sz w:val="28"/>
          <w:szCs w:val="28"/>
          <w:lang w:val="ru-RU"/>
        </w:rPr>
        <w:t xml:space="preserve"> никоим образом не следует, что экономически эффективная разработка объекта возможна лишь при наличии Доказанных Минеральных Запасов. Могут возникать такие ситуации, когда для экономически оправданной эксплуатации месторождения достаточно иметь определенное количество Вероятных Минеральных Запасов. К примеру, это может быть разработка некоторых аллювиальных оловоносных россыпей, месторождений золота либо алмазов.</w:t>
      </w:r>
    </w:p>
    <w:p w14:paraId="7509673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Компетентное Лицо должно ясно показать неопределенность в такой ситуации.</w:t>
      </w:r>
    </w:p>
    <w:p w14:paraId="04CAA2B3"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32.</w:t>
      </w:r>
      <w:r w:rsidRPr="00382CB1">
        <w:rPr>
          <w:rFonts w:cstheme="minorHAnsi"/>
          <w:sz w:val="28"/>
          <w:szCs w:val="28"/>
          <w:lang w:val="ru-RU"/>
        </w:rPr>
        <w:tab/>
        <w:t>Вероятные Минеральные Запасы – это рентабельная для отработки часть Выявленных Минеральных Ресурсов и, при некоторых обстоятельствах, Измеренных Минеральных Ресурсов.</w:t>
      </w:r>
    </w:p>
    <w:p w14:paraId="6CD0532A"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Модифицирующие Факторы, применяемые  при  оценке  Вероятных  Минеральных Запасов, имеют более низкий уровень достоверности, чем таковые для Доказанных Минеральных Запасов.</w:t>
      </w:r>
    </w:p>
    <w:p w14:paraId="0F135D8F"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33.</w:t>
      </w:r>
      <w:r w:rsidRPr="00382CB1">
        <w:rPr>
          <w:rFonts w:cstheme="minorHAnsi"/>
          <w:sz w:val="28"/>
          <w:szCs w:val="28"/>
          <w:lang w:val="ru-RU"/>
        </w:rPr>
        <w:tab/>
        <w:t xml:space="preserve">Доказанные Минеральные Запасы </w:t>
      </w:r>
      <w:proofErr w:type="gramStart"/>
      <w:r w:rsidRPr="00382CB1">
        <w:rPr>
          <w:rFonts w:cstheme="minorHAnsi"/>
          <w:sz w:val="28"/>
          <w:szCs w:val="28"/>
          <w:lang w:val="ru-RU"/>
        </w:rPr>
        <w:t>- это</w:t>
      </w:r>
      <w:proofErr w:type="gramEnd"/>
      <w:r w:rsidRPr="00382CB1">
        <w:rPr>
          <w:rFonts w:cstheme="minorHAnsi"/>
          <w:sz w:val="28"/>
          <w:szCs w:val="28"/>
          <w:lang w:val="ru-RU"/>
        </w:rPr>
        <w:t xml:space="preserve"> экономически извлекаемая часть Измеренных</w:t>
      </w:r>
      <w:r w:rsidRPr="00382CB1">
        <w:rPr>
          <w:rFonts w:cstheme="minorHAnsi"/>
          <w:sz w:val="28"/>
          <w:szCs w:val="28"/>
          <w:lang w:val="ru-RU"/>
        </w:rPr>
        <w:tab/>
        <w:t>Минеральных</w:t>
      </w:r>
      <w:r w:rsidRPr="00382CB1">
        <w:rPr>
          <w:rFonts w:cstheme="minorHAnsi"/>
          <w:sz w:val="28"/>
          <w:szCs w:val="28"/>
          <w:lang w:val="ru-RU"/>
        </w:rPr>
        <w:tab/>
        <w:t>Ресурсов.</w:t>
      </w:r>
      <w:r w:rsidRPr="00382CB1">
        <w:rPr>
          <w:rFonts w:cstheme="minorHAnsi"/>
          <w:sz w:val="28"/>
          <w:szCs w:val="28"/>
          <w:lang w:val="ru-RU"/>
        </w:rPr>
        <w:tab/>
        <w:t>Доказанные</w:t>
      </w:r>
      <w:r w:rsidRPr="00382CB1">
        <w:rPr>
          <w:rFonts w:cstheme="minorHAnsi"/>
          <w:sz w:val="28"/>
          <w:szCs w:val="28"/>
          <w:lang w:val="ru-RU"/>
        </w:rPr>
        <w:tab/>
        <w:t>Минеральные</w:t>
      </w:r>
      <w:r w:rsidRPr="00382CB1">
        <w:rPr>
          <w:rFonts w:cstheme="minorHAnsi"/>
          <w:sz w:val="28"/>
          <w:szCs w:val="28"/>
          <w:lang w:val="ru-RU"/>
        </w:rPr>
        <w:tab/>
        <w:t>Запасы предполагают</w:t>
      </w:r>
      <w:r w:rsidRPr="00382CB1">
        <w:rPr>
          <w:rFonts w:cstheme="minorHAnsi"/>
          <w:sz w:val="28"/>
          <w:szCs w:val="28"/>
          <w:lang w:val="ru-RU"/>
        </w:rPr>
        <w:tab/>
        <w:t>наиболее</w:t>
      </w:r>
      <w:r w:rsidRPr="00382CB1">
        <w:rPr>
          <w:rFonts w:cstheme="minorHAnsi"/>
          <w:sz w:val="28"/>
          <w:szCs w:val="28"/>
          <w:lang w:val="ru-RU"/>
        </w:rPr>
        <w:tab/>
        <w:t>высокую</w:t>
      </w:r>
      <w:r w:rsidRPr="00382CB1">
        <w:rPr>
          <w:rFonts w:cstheme="minorHAnsi"/>
          <w:sz w:val="28"/>
          <w:szCs w:val="28"/>
          <w:lang w:val="ru-RU"/>
        </w:rPr>
        <w:tab/>
        <w:t>степенью</w:t>
      </w:r>
      <w:r w:rsidRPr="00382CB1">
        <w:rPr>
          <w:rFonts w:cstheme="minorHAnsi"/>
          <w:sz w:val="28"/>
          <w:szCs w:val="28"/>
          <w:lang w:val="ru-RU"/>
        </w:rPr>
        <w:tab/>
        <w:t>уверенности</w:t>
      </w:r>
      <w:r w:rsidRPr="00382CB1">
        <w:rPr>
          <w:rFonts w:cstheme="minorHAnsi"/>
          <w:sz w:val="28"/>
          <w:szCs w:val="28"/>
          <w:lang w:val="ru-RU"/>
        </w:rPr>
        <w:tab/>
        <w:t>в</w:t>
      </w:r>
      <w:r w:rsidRPr="00382CB1">
        <w:rPr>
          <w:rFonts w:cstheme="minorHAnsi"/>
          <w:sz w:val="28"/>
          <w:szCs w:val="28"/>
          <w:lang w:val="ru-RU"/>
        </w:rPr>
        <w:tab/>
        <w:t>Модифицирующих факторах.</w:t>
      </w:r>
    </w:p>
    <w:p w14:paraId="74F8EE9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На некоторых месторождениях в зависимости от типа минерализации и других факторов выделение категории Доказанные Минеральные Запасы невозможно. Компетентные Лица должны знать о последствиях объявления о запасах категории высшей достоверности, прежде чем не убедятся сами в том, что все соответствующие ресурсам параметры и Модифицирующие Факторы имеют такой же высокий уровень достоверности.</w:t>
      </w:r>
    </w:p>
    <w:p w14:paraId="0CE72208"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lastRenderedPageBreak/>
        <w:t>34.</w:t>
      </w:r>
      <w:r w:rsidRPr="00382CB1">
        <w:rPr>
          <w:rFonts w:cstheme="minorHAnsi"/>
          <w:sz w:val="28"/>
          <w:szCs w:val="28"/>
          <w:lang w:val="ru-RU"/>
        </w:rPr>
        <w:tab/>
        <w:t>Принадлежность запасов к той или иной категории определяется, в первую очередь, соответствующим уровнем достоверности оценки исходных Минеральных Ресурсов и после анализа любых неопределенностей влияния Модифицирующих Факторов. Отнесение запасов к конкретной категории является прерогативой Компетентного Лица.</w:t>
      </w:r>
    </w:p>
    <w:p w14:paraId="1A113F7C"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Кодекс </w:t>
      </w:r>
      <w:r w:rsidRPr="00382CB1">
        <w:rPr>
          <w:rFonts w:cstheme="minorHAnsi"/>
          <w:sz w:val="28"/>
          <w:szCs w:val="28"/>
        </w:rPr>
        <w:t>KAZRC</w:t>
      </w:r>
      <w:r w:rsidRPr="00382CB1">
        <w:rPr>
          <w:rFonts w:cstheme="minorHAnsi"/>
          <w:sz w:val="28"/>
          <w:szCs w:val="28"/>
          <w:lang w:val="ru-RU"/>
        </w:rPr>
        <w:t xml:space="preserve"> предусматривает прямую связь между категориями Выявленных Минеральных Ресурсов и Вероятных Минеральных Запасов, а также между Измеренными Минеральными Ресурсами и Доказанными Минеральными Запасами. Другими словами, степень геологической достоверности Вероятных Минеральных Запасов такая же, как требуется для определения Выявленных Минеральных Ресурсов.</w:t>
      </w:r>
    </w:p>
    <w:p w14:paraId="51B97D21" w14:textId="63CF5ACD" w:rsidR="00E61390" w:rsidRPr="00382CB1" w:rsidRDefault="00E61390" w:rsidP="00E61390">
      <w:pPr>
        <w:jc w:val="both"/>
        <w:rPr>
          <w:rFonts w:cstheme="minorHAnsi"/>
          <w:sz w:val="28"/>
          <w:szCs w:val="28"/>
          <w:lang w:val="ru-RU"/>
        </w:rPr>
      </w:pPr>
      <w:r w:rsidRPr="00382CB1">
        <w:rPr>
          <w:rFonts w:cstheme="minorHAnsi"/>
          <w:sz w:val="28"/>
          <w:szCs w:val="28"/>
          <w:lang w:val="ru-RU"/>
        </w:rPr>
        <w:t>Степень геологической</w:t>
      </w:r>
      <w:r w:rsidR="00582AFB">
        <w:rPr>
          <w:rFonts w:cstheme="minorHAnsi"/>
          <w:sz w:val="28"/>
          <w:szCs w:val="28"/>
          <w:lang w:val="ru-RU"/>
        </w:rPr>
        <w:t xml:space="preserve"> </w:t>
      </w:r>
      <w:r w:rsidRPr="00382CB1">
        <w:rPr>
          <w:rFonts w:cstheme="minorHAnsi"/>
          <w:sz w:val="28"/>
          <w:szCs w:val="28"/>
          <w:lang w:val="ru-RU"/>
        </w:rPr>
        <w:t>достоверности Доказанных Минеральных Запасов такая же, как требуется для определения Измеренных Минеральных Ресурсов. Предполагаемые Минеральные Ресурсы всегда являются дополнением к Минеральным Запасам.</w:t>
      </w:r>
    </w:p>
    <w:p w14:paraId="54024B15"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Кроме того, в Кодексе </w:t>
      </w:r>
      <w:r w:rsidRPr="00382CB1">
        <w:rPr>
          <w:rFonts w:cstheme="minorHAnsi"/>
          <w:sz w:val="28"/>
          <w:szCs w:val="28"/>
        </w:rPr>
        <w:t>KAZRC</w:t>
      </w:r>
      <w:r w:rsidRPr="00382CB1">
        <w:rPr>
          <w:rFonts w:cstheme="minorHAnsi"/>
          <w:sz w:val="28"/>
          <w:szCs w:val="28"/>
          <w:lang w:val="ru-RU"/>
        </w:rPr>
        <w:t xml:space="preserve"> предусмотрена двусторонняя связь между категориями Измеренных Минеральных Ресурсов и Вероятных Минеральных Запасов. Данная связь применяется в тех случаях, когда неопределенность влияния любых Модифицирующих Факторов при переводе Минеральных Ресурсов в Минеральные Запасы приводит к более низкой степени достоверности Минеральных Запасов по сравнению с соответствующими Минеральными Ресурсами.</w:t>
      </w:r>
    </w:p>
    <w:p w14:paraId="77073446"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Такое преобразование не подразумевает уменьшения уровня геологических знаний или достоверности.</w:t>
      </w:r>
    </w:p>
    <w:p w14:paraId="6A6D64DA"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Вероятные Запасы, полученные на базе Измеренных Минеральных Ресурсов, могут быть переклассифицированы в Доказанные Запасы, если будут устранены неопределенности, связанные с Модифицирующими Факторами. Отсутствие достоверных Модифицирующих Факторов для перевода Минеральных Ресурсов в Минеральные Запасы может превысить верхний уровень достоверности Минеральных Ресурсов. Ни при каких условиях Выявленные Минеральные Ресурсы не могут быть переведены в категорию Доказанных Минеральных Запасов (см. рис. 1).</w:t>
      </w:r>
    </w:p>
    <w:p w14:paraId="01C2F01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Использование категории Доказанных Минеральных Запасов означает наивысшую степень достоверности оценки и соответствующих ожиданий для читателей Отчета. Это необходимо иметь в виду, присваивая Минеральным Ресурсам категорию Измеренных.</w:t>
      </w:r>
    </w:p>
    <w:p w14:paraId="2E82581C"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Если переоценка приведет к тому, что какая-либо часть Минеральных Запасов окажется нерентабельной к отработке либо не отрабатываемой по горным условиям, такие Минеральные Запасы должны быть удалены из Заявления о Минеральных Запасах.</w:t>
      </w:r>
    </w:p>
    <w:p w14:paraId="597B0044"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Не ожидается, что такая переклассификация Минеральных Запасов должна применяться как результат изменений кратковременной природы или в случае, если компания принимает решение отрабатывать нерентабельные запасы. Примером таких случаев может послужить резкое падение цен на продукцию, которое должно </w:t>
      </w:r>
      <w:r w:rsidRPr="00382CB1">
        <w:rPr>
          <w:rFonts w:cstheme="minorHAnsi"/>
          <w:sz w:val="28"/>
          <w:szCs w:val="28"/>
          <w:lang w:val="ru-RU"/>
        </w:rPr>
        <w:lastRenderedPageBreak/>
        <w:t>измениться в краткосрочной перспективе, авария на руднике которая имеет временный характер, транспортная забастовка и т.п.</w:t>
      </w:r>
    </w:p>
    <w:p w14:paraId="5EC6163B" w14:textId="65D921CA" w:rsidR="00E61390" w:rsidRPr="00382CB1" w:rsidRDefault="00E61390" w:rsidP="00E61390">
      <w:pPr>
        <w:jc w:val="both"/>
        <w:rPr>
          <w:rFonts w:cstheme="minorHAnsi"/>
          <w:sz w:val="28"/>
          <w:szCs w:val="28"/>
          <w:lang w:val="ru-RU"/>
        </w:rPr>
      </w:pPr>
      <w:r w:rsidRPr="00382CB1">
        <w:rPr>
          <w:rFonts w:cstheme="minorHAnsi"/>
          <w:sz w:val="28"/>
          <w:szCs w:val="28"/>
          <w:lang w:val="ru-RU"/>
        </w:rPr>
        <w:t>35.</w:t>
      </w:r>
      <w:r w:rsidRPr="00382CB1">
        <w:rPr>
          <w:rFonts w:cstheme="minorHAnsi"/>
          <w:sz w:val="28"/>
          <w:szCs w:val="28"/>
          <w:lang w:val="ru-RU"/>
        </w:rPr>
        <w:tab/>
        <w:t>Оценки Минеральных Запасов не являются результатом точных расчетов. Публикация в отчете цифр количества (тоннажа) и качества полезных ископаемых должно отражать относительную  неопределенность  оценки  путём  округления  до  соответствующих значащих цифр</w:t>
      </w:r>
    </w:p>
    <w:p w14:paraId="704FB3F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Чтобы подчеркнуть неточность получаемых оценок запасов, окончательные цифры во всех случаях должны характеризоваться именно, как «оценки», а не результаты расчетов.</w:t>
      </w:r>
    </w:p>
    <w:p w14:paraId="3CB8F9F4"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Компетентному Лицу желательно проанализировать относительную точность и/или достоверность оценки Минеральных Ресурсов. В Отчете должно быть указано, относятся ли представленные оценки к совокупным (относящиеся к общему объему ресурсов) либо локальным оценкам (относящимся к ограниченному объему). Если оценки относятся к локальным объемам, следует указать относительное количество или объем в тоннах. Там, где представить такое заявление об уровне точности и/или достоверности невозможно, следует представить качественный анализ неопределенностей (см. Табл. 1 и раздел 27).</w:t>
      </w:r>
    </w:p>
    <w:p w14:paraId="1F59E806"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36.</w:t>
      </w:r>
      <w:r w:rsidRPr="00382CB1">
        <w:rPr>
          <w:rFonts w:cstheme="minorHAnsi"/>
          <w:sz w:val="28"/>
          <w:szCs w:val="28"/>
          <w:lang w:val="ru-RU"/>
        </w:rPr>
        <w:tab/>
        <w:t>В Публичных Отчетах о Минеральных Запасах должны быть определены одна или обе категории запасов- «Доказанные» и «Вероятные». Не допускается объединение Доказанных и Вероятных Запасов, если одновременно не указываются соответствующие цифры по каждой категории в отдельности. В Публичном Отчете не должны фигурировать данные о количестве заключенного в запасах металла или минерала, если при этом не сообщаются соответствующие цифры количества и качества ресурсов. Минеральные Запасы не должны суммироваться с Минеральными Ресурсами.</w:t>
      </w:r>
    </w:p>
    <w:p w14:paraId="5726F49C"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Квалификация запасов, представляемых в Публичном Отчете, по категориям, не подпадающим под классификацию Кодекса </w:t>
      </w:r>
      <w:r w:rsidRPr="00382CB1">
        <w:rPr>
          <w:rFonts w:cstheme="minorHAnsi"/>
          <w:sz w:val="28"/>
          <w:szCs w:val="28"/>
        </w:rPr>
        <w:t>KAZRC</w:t>
      </w:r>
      <w:r w:rsidRPr="00382CB1">
        <w:rPr>
          <w:rFonts w:cstheme="minorHAnsi"/>
          <w:sz w:val="28"/>
          <w:szCs w:val="28"/>
          <w:lang w:val="ru-RU"/>
        </w:rPr>
        <w:t>, не допускается.</w:t>
      </w:r>
    </w:p>
    <w:p w14:paraId="0C82FAFD"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Запасы могут включать материал (разубоживание), который не является частью первоначальных ресурсов. Важно, чтобы это принципиальное различие между Минеральными Ресурсами и Минеральными Запасами принималось во внимание при их сравнении.</w:t>
      </w:r>
    </w:p>
    <w:p w14:paraId="17E3681F"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В случаях, когда публикуются пересмотренные данные о Минеральных Запасах и Минеральных Ресурсах, необходимо  представить  информацию  о  результатах сопоставления новых данных с прежними отчетами. Не требуется делать подробный анализ различий между цифрами, но необходимо дать соответствующие разъяснения, чтобы читатель отчета понял существенные изменения.</w:t>
      </w:r>
    </w:p>
    <w:p w14:paraId="0A1E272F"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37.</w:t>
      </w:r>
      <w:r w:rsidRPr="00382CB1">
        <w:rPr>
          <w:rFonts w:cstheme="minorHAnsi"/>
          <w:sz w:val="28"/>
          <w:szCs w:val="28"/>
          <w:lang w:val="ru-RU"/>
        </w:rPr>
        <w:tab/>
        <w:t>Допускается, чтобы План добычи месторождения включал в себя частично Предполагаемые ресурсы. Если Минеральные Ресурсы этой категории рассматриваются при проектировании добычи или экономических расчетах, а результаты входят в Публичный отчет, должно быть сделано полное раскрытие связанной с этим информации и должен быть освещен эффект Предполагаемых ресурсов.</w:t>
      </w:r>
    </w:p>
    <w:p w14:paraId="41D1F936"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Предполагаемые Ресурсы могут быть включены при планировании добычи и в </w:t>
      </w:r>
      <w:r w:rsidRPr="00382CB1">
        <w:rPr>
          <w:rFonts w:cstheme="minorHAnsi"/>
          <w:sz w:val="28"/>
          <w:szCs w:val="28"/>
          <w:lang w:val="ru-RU"/>
        </w:rPr>
        <w:lastRenderedPageBreak/>
        <w:t>экономические расчеты только при условиях: наличия Плана добычи (Проекта) и в Отчете о</w:t>
      </w:r>
      <w:r w:rsidRPr="00382CB1">
        <w:rPr>
          <w:rFonts w:cstheme="minorHAnsi"/>
          <w:sz w:val="28"/>
          <w:szCs w:val="28"/>
          <w:lang w:val="ru-RU"/>
        </w:rPr>
        <w:tab/>
        <w:t>оценке Минеральных Ресурсов должно быть соответствующее пояснение по использованию Предполагаемых ресурсов. В целом План добычи месторождения с учетом всего   периода   его   отработки   должен   быть   экономически   выгодным   без   учета Предполагаемых Ресурсов, используемых для дополнения оценки Минеральных Запасов. При использовании минерализации месторождения при добыче с включением Предполагаемых ресурсов, необходимо показать сравнение экономических результатов с включением Предполагаемых ресурсов и без них. Также должны быть объяснены риски, связанные с включением этих ресурсов и их пропорция в общих ресурсах/запасах с учетом плана развития рудника.</w:t>
      </w:r>
    </w:p>
    <w:p w14:paraId="2F525CD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Модифицирующие факторы и допущения, примененные при оценке Предполагаемых ресурсов, должны отражать риски, связанные с их низкой геологической изученностью и достоверностью.</w:t>
      </w:r>
    </w:p>
    <w:p w14:paraId="05C178BC"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38.</w:t>
      </w:r>
      <w:r w:rsidRPr="00382CB1">
        <w:rPr>
          <w:rFonts w:cstheme="minorHAnsi"/>
          <w:sz w:val="28"/>
          <w:szCs w:val="28"/>
          <w:lang w:val="ru-RU"/>
        </w:rPr>
        <w:tab/>
        <w:t>В Публичном Отчете о Минеральных Запасах, в случае когда Отчет выпускается впервые, либо с даты последнего отчета произошли материальные изменения в оценках, краткая информация в соответствующем разделе Таблицы №1 должна быть приведена.</w:t>
      </w:r>
    </w:p>
    <w:p w14:paraId="6A416DBB"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39.</w:t>
      </w:r>
      <w:r w:rsidRPr="00382CB1">
        <w:rPr>
          <w:rFonts w:cstheme="minorHAnsi"/>
          <w:sz w:val="28"/>
          <w:szCs w:val="28"/>
          <w:lang w:val="ru-RU"/>
        </w:rPr>
        <w:tab/>
        <w:t>В отчете, в котором приводятся цифры, как по Минеральным Ресурсам, так и по Минеральным Запасам, должно быть включено пояснение, которое бы ясно указывало на то, включают ли Минеральные Ресурсы указанные Минеральные Запасы, либо они являются дополнительными к ним.</w:t>
      </w:r>
    </w:p>
    <w:p w14:paraId="6B1B89E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Оценки Минеральных Запасов не должны суммироваться с оценками Минеральных Ресурсов и представляться в Публичном Отчете единой цифрой.</w:t>
      </w:r>
    </w:p>
    <w:p w14:paraId="1A8757FD"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В некоторых случаях есть основания представлять Минеральные Ресурсы включая Минеральные Запасы, в других ситуациях Минеральные Ресурсы представлять, как дополнение к Минеральным Запасам. Необходимо указать точно, какая форма отчетности принята в отчете.</w:t>
      </w:r>
    </w:p>
    <w:p w14:paraId="5547475F"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В этих случаях правильными формулировками, разъясняющими формы отчета, могут быть такие:</w:t>
      </w:r>
    </w:p>
    <w:p w14:paraId="2A89E5C6"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w:t>
      </w:r>
      <w:r w:rsidRPr="00382CB1">
        <w:rPr>
          <w:rFonts w:cstheme="minorHAnsi"/>
          <w:sz w:val="28"/>
          <w:szCs w:val="28"/>
          <w:lang w:val="ru-RU"/>
        </w:rPr>
        <w:tab/>
        <w:t>Измеренные и Выявленные Минеральные Ресурсы включены в Минеральные Ресурсы, модифицированные для их перевода в Минеральные Запасы;</w:t>
      </w:r>
    </w:p>
    <w:p w14:paraId="0740A3B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w:t>
      </w:r>
      <w:r w:rsidRPr="00382CB1">
        <w:rPr>
          <w:rFonts w:cstheme="minorHAnsi"/>
          <w:sz w:val="28"/>
          <w:szCs w:val="28"/>
          <w:lang w:val="ru-RU"/>
        </w:rPr>
        <w:tab/>
        <w:t>Измеренные и Выявленные Минеральные Ресурсы являются дополнительными к Минеральным Запасам.</w:t>
      </w:r>
    </w:p>
    <w:p w14:paraId="55D65616"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В первом случае, если Измеренные и Выявленные Минеральные Ресурсы не были переведены в Минеральные Запасы по экономическим или другим причинам, то в Отчете должны быть отражены все необходимые подробности не переквалифицированных (в Минеральные Запасы) Минеральных Ресурсов. Это позволяет читателю Публичного Отчета </w:t>
      </w:r>
      <w:r w:rsidRPr="00382CB1">
        <w:rPr>
          <w:rFonts w:cstheme="minorHAnsi"/>
          <w:sz w:val="28"/>
          <w:szCs w:val="28"/>
        </w:rPr>
        <w:t>c</w:t>
      </w:r>
      <w:r w:rsidRPr="00382CB1">
        <w:rPr>
          <w:rFonts w:cstheme="minorHAnsi"/>
          <w:sz w:val="28"/>
          <w:szCs w:val="28"/>
          <w:lang w:val="ru-RU"/>
        </w:rPr>
        <w:t>формировать свое мнение относительно вероятности перевода не модифицированных Минеральных Ресурсов в Минеральные Запасы в будущем.</w:t>
      </w:r>
    </w:p>
    <w:p w14:paraId="1AB16E53"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Предполагаемые Ресурсы по определению всегда являются дополнительными к Минеральным Запасам.</w:t>
      </w:r>
    </w:p>
    <w:p w14:paraId="23E221F2"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lastRenderedPageBreak/>
        <w:t>По причинам, изложенным в руководящих указаниях к разделу 34 и в данном параграфе, представленные цифры Минеральных Запасов не должны суммироваться с цифрами Минеральных Ресурсов и представляться в Публичном Отчете единой суммарной цифрой, поскольку такая суммарная цифра может ввести в заблуждение читателя, быть неправильно использована и создать неверное впечатление о перспективах Компании.</w:t>
      </w:r>
    </w:p>
    <w:p w14:paraId="217CDC61" w14:textId="77777777" w:rsidR="0067065C" w:rsidRDefault="0067065C">
      <w:pPr>
        <w:rPr>
          <w:rFonts w:cstheme="minorHAnsi"/>
          <w:sz w:val="28"/>
          <w:szCs w:val="28"/>
          <w:lang w:val="ru-RU"/>
        </w:rPr>
      </w:pPr>
      <w:r>
        <w:rPr>
          <w:rFonts w:cstheme="minorHAnsi"/>
          <w:sz w:val="28"/>
          <w:szCs w:val="28"/>
          <w:lang w:val="ru-RU"/>
        </w:rPr>
        <w:br w:type="page"/>
      </w:r>
    </w:p>
    <w:p w14:paraId="58AD6EFD" w14:textId="6A5DD15F" w:rsidR="0067065C" w:rsidRPr="0067065C" w:rsidRDefault="0067065C" w:rsidP="0067065C">
      <w:pPr>
        <w:jc w:val="center"/>
        <w:rPr>
          <w:rFonts w:cstheme="minorHAnsi"/>
          <w:b/>
          <w:bCs/>
          <w:sz w:val="28"/>
          <w:szCs w:val="28"/>
          <w:u w:val="single"/>
          <w:lang w:val="ru-RU"/>
        </w:rPr>
      </w:pPr>
      <w:r w:rsidRPr="0067065C">
        <w:rPr>
          <w:rFonts w:cstheme="minorHAnsi"/>
          <w:b/>
          <w:bCs/>
          <w:sz w:val="28"/>
          <w:szCs w:val="28"/>
          <w:u w:val="single"/>
          <w:lang w:val="ru-RU"/>
        </w:rPr>
        <w:lastRenderedPageBreak/>
        <w:t>ЛЕКЦИЯ 14</w:t>
      </w:r>
    </w:p>
    <w:p w14:paraId="1229DE13" w14:textId="77777777" w:rsidR="0067065C" w:rsidRPr="0067065C" w:rsidRDefault="0067065C" w:rsidP="0067065C">
      <w:pPr>
        <w:jc w:val="center"/>
        <w:rPr>
          <w:rFonts w:cstheme="minorHAnsi"/>
          <w:b/>
          <w:bCs/>
          <w:sz w:val="28"/>
          <w:szCs w:val="28"/>
          <w:lang w:val="ru-RU"/>
        </w:rPr>
      </w:pPr>
    </w:p>
    <w:p w14:paraId="353D18CE" w14:textId="3A57E308" w:rsidR="00E61390" w:rsidRPr="0067065C" w:rsidRDefault="00E61390" w:rsidP="0067065C">
      <w:pPr>
        <w:jc w:val="center"/>
        <w:rPr>
          <w:rFonts w:cstheme="minorHAnsi"/>
          <w:b/>
          <w:bCs/>
          <w:sz w:val="28"/>
          <w:szCs w:val="28"/>
          <w:lang w:val="ru-RU"/>
        </w:rPr>
      </w:pPr>
      <w:r w:rsidRPr="0067065C">
        <w:rPr>
          <w:rFonts w:cstheme="minorHAnsi"/>
          <w:b/>
          <w:bCs/>
          <w:sz w:val="28"/>
          <w:szCs w:val="28"/>
          <w:lang w:val="ru-RU"/>
        </w:rPr>
        <w:t>ТЕХНИЧЕСКИЕ ИССЛЕДОВАНИЯ</w:t>
      </w:r>
    </w:p>
    <w:p w14:paraId="33B1D140" w14:textId="77777777" w:rsidR="0067065C" w:rsidRPr="00382CB1" w:rsidRDefault="0067065C" w:rsidP="00E61390">
      <w:pPr>
        <w:jc w:val="both"/>
        <w:rPr>
          <w:rFonts w:cstheme="minorHAnsi"/>
          <w:sz w:val="28"/>
          <w:szCs w:val="28"/>
          <w:lang w:val="ru-RU"/>
        </w:rPr>
      </w:pPr>
    </w:p>
    <w:p w14:paraId="03ED7327" w14:textId="45457BF7" w:rsidR="00E61390" w:rsidRPr="00382CB1" w:rsidRDefault="00E61390" w:rsidP="00E61390">
      <w:pPr>
        <w:jc w:val="both"/>
        <w:rPr>
          <w:rFonts w:cstheme="minorHAnsi"/>
          <w:sz w:val="28"/>
          <w:szCs w:val="28"/>
          <w:lang w:val="ru-RU"/>
        </w:rPr>
      </w:pPr>
      <w:r w:rsidRPr="00382CB1">
        <w:rPr>
          <w:rFonts w:cstheme="minorHAnsi"/>
          <w:sz w:val="28"/>
          <w:szCs w:val="28"/>
          <w:lang w:val="ru-RU"/>
        </w:rPr>
        <w:t>40.</w:t>
      </w:r>
      <w:r w:rsidRPr="00382CB1">
        <w:rPr>
          <w:rFonts w:cstheme="minorHAnsi"/>
          <w:sz w:val="28"/>
          <w:szCs w:val="28"/>
          <w:lang w:val="ru-RU"/>
        </w:rPr>
        <w:tab/>
        <w:t xml:space="preserve">Концептуальная Технико-экономическая оценка (в международной терминологии - </w:t>
      </w:r>
      <w:r w:rsidRPr="00382CB1">
        <w:rPr>
          <w:rFonts w:cstheme="minorHAnsi"/>
          <w:sz w:val="28"/>
          <w:szCs w:val="28"/>
        </w:rPr>
        <w:t>Scoping</w:t>
      </w:r>
      <w:r w:rsidRPr="00382CB1">
        <w:rPr>
          <w:rFonts w:cstheme="minorHAnsi"/>
          <w:sz w:val="28"/>
          <w:szCs w:val="28"/>
          <w:lang w:val="ru-RU"/>
        </w:rPr>
        <w:t xml:space="preserve"> </w:t>
      </w:r>
      <w:r w:rsidRPr="00382CB1">
        <w:rPr>
          <w:rFonts w:cstheme="minorHAnsi"/>
          <w:sz w:val="28"/>
          <w:szCs w:val="28"/>
        </w:rPr>
        <w:t>Study</w:t>
      </w:r>
      <w:r w:rsidRPr="00382CB1">
        <w:rPr>
          <w:rFonts w:cstheme="minorHAnsi"/>
          <w:sz w:val="28"/>
          <w:szCs w:val="28"/>
          <w:lang w:val="ru-RU"/>
        </w:rPr>
        <w:t xml:space="preserve">, далее – Концептуальная ТЭО или </w:t>
      </w:r>
      <w:r w:rsidRPr="00382CB1">
        <w:rPr>
          <w:rFonts w:cstheme="minorHAnsi"/>
          <w:sz w:val="28"/>
          <w:szCs w:val="28"/>
        </w:rPr>
        <w:t>SS</w:t>
      </w:r>
      <w:r w:rsidRPr="00382CB1">
        <w:rPr>
          <w:rFonts w:cstheme="minorHAnsi"/>
          <w:sz w:val="28"/>
          <w:szCs w:val="28"/>
          <w:lang w:val="ru-RU"/>
        </w:rPr>
        <w:t>) - это технико-экономическое исследование</w:t>
      </w:r>
      <w:r w:rsidRPr="00382CB1">
        <w:rPr>
          <w:rFonts w:cstheme="minorHAnsi"/>
          <w:sz w:val="28"/>
          <w:szCs w:val="28"/>
          <w:lang w:val="ru-RU"/>
        </w:rPr>
        <w:tab/>
        <w:t>потенциальной</w:t>
      </w:r>
      <w:r w:rsidRPr="00382CB1">
        <w:rPr>
          <w:rFonts w:cstheme="minorHAnsi"/>
          <w:sz w:val="28"/>
          <w:szCs w:val="28"/>
          <w:lang w:val="ru-RU"/>
        </w:rPr>
        <w:tab/>
        <w:t>рентабельности Минеральных    Ресурсов,</w:t>
      </w:r>
      <w:r w:rsidRPr="00382CB1">
        <w:rPr>
          <w:rFonts w:cstheme="minorHAnsi"/>
          <w:sz w:val="28"/>
          <w:szCs w:val="28"/>
          <w:lang w:val="ru-RU"/>
        </w:rPr>
        <w:tab/>
        <w:t>которое включает соответствующие оценки реалистически предполагаемых Модифицирующих Факторов    вместе</w:t>
      </w:r>
      <w:r w:rsidRPr="00382CB1">
        <w:rPr>
          <w:rFonts w:cstheme="minorHAnsi"/>
          <w:sz w:val="28"/>
          <w:szCs w:val="28"/>
          <w:lang w:val="ru-RU"/>
        </w:rPr>
        <w:tab/>
        <w:t>с</w:t>
      </w:r>
      <w:r w:rsidRPr="00382CB1">
        <w:rPr>
          <w:rFonts w:cstheme="minorHAnsi"/>
          <w:sz w:val="28"/>
          <w:szCs w:val="28"/>
          <w:lang w:val="ru-RU"/>
        </w:rPr>
        <w:tab/>
        <w:t>любыми</w:t>
      </w:r>
      <w:r w:rsidRPr="00382CB1">
        <w:rPr>
          <w:rFonts w:cstheme="minorHAnsi"/>
          <w:sz w:val="28"/>
          <w:szCs w:val="28"/>
          <w:lang w:val="ru-RU"/>
        </w:rPr>
        <w:tab/>
      </w:r>
      <w:r w:rsidRPr="00382CB1">
        <w:rPr>
          <w:rFonts w:cstheme="minorHAnsi"/>
          <w:sz w:val="28"/>
          <w:szCs w:val="28"/>
          <w:lang w:val="ru-RU"/>
        </w:rPr>
        <w:tab/>
        <w:t>другими</w:t>
      </w:r>
      <w:r w:rsidRPr="00382CB1">
        <w:rPr>
          <w:rFonts w:cstheme="minorHAnsi"/>
          <w:sz w:val="28"/>
          <w:szCs w:val="28"/>
          <w:lang w:val="ru-RU"/>
        </w:rPr>
        <w:tab/>
        <w:t>соответствующими</w:t>
      </w:r>
      <w:r w:rsidRPr="00382CB1">
        <w:rPr>
          <w:rFonts w:cstheme="minorHAnsi"/>
          <w:sz w:val="28"/>
          <w:szCs w:val="28"/>
          <w:lang w:val="ru-RU"/>
        </w:rPr>
        <w:tab/>
        <w:t>эксплуатационными факторами, необходимыми, чтобы продемонстрировать на момент представления отчетности, что предварительное Технико-экономическое обоснование может быть разумно обосновано.</w:t>
      </w:r>
    </w:p>
    <w:p w14:paraId="47674A40" w14:textId="77777777" w:rsidR="00E61390" w:rsidRPr="00382CB1" w:rsidRDefault="00E61390" w:rsidP="00E61390">
      <w:pPr>
        <w:jc w:val="both"/>
        <w:rPr>
          <w:rFonts w:cstheme="minorHAnsi"/>
          <w:sz w:val="28"/>
          <w:szCs w:val="28"/>
          <w:lang w:val="ru-RU"/>
        </w:rPr>
      </w:pPr>
      <w:r w:rsidRPr="00382CB1">
        <w:rPr>
          <w:rFonts w:cstheme="minorHAnsi"/>
          <w:sz w:val="28"/>
          <w:szCs w:val="28"/>
        </w:rPr>
        <w:t>SS</w:t>
      </w:r>
      <w:r w:rsidRPr="00382CB1">
        <w:rPr>
          <w:rFonts w:cstheme="minorHAnsi"/>
          <w:sz w:val="28"/>
          <w:szCs w:val="28"/>
          <w:lang w:val="ru-RU"/>
        </w:rPr>
        <w:t xml:space="preserve"> не должно использоваться в качестве основы для оценки Минеральных Запасов; если при подготовке </w:t>
      </w:r>
      <w:r w:rsidRPr="00382CB1">
        <w:rPr>
          <w:rFonts w:cstheme="minorHAnsi"/>
          <w:sz w:val="28"/>
          <w:szCs w:val="28"/>
        </w:rPr>
        <w:t>SS</w:t>
      </w:r>
      <w:r w:rsidRPr="00382CB1">
        <w:rPr>
          <w:rFonts w:cstheme="minorHAnsi"/>
          <w:sz w:val="28"/>
          <w:szCs w:val="28"/>
          <w:lang w:val="ru-RU"/>
        </w:rPr>
        <w:t xml:space="preserve"> используются Минеральные Ресурсы категории Предполагаемые, в Публичном Отчете должна быть указана пропорция и относительная последовательность Предполагаемых минеральных ресурсов в рамках </w:t>
      </w:r>
      <w:r w:rsidRPr="00382CB1">
        <w:rPr>
          <w:rFonts w:cstheme="minorHAnsi"/>
          <w:sz w:val="28"/>
          <w:szCs w:val="28"/>
        </w:rPr>
        <w:t>SS</w:t>
      </w:r>
      <w:r w:rsidRPr="00382CB1">
        <w:rPr>
          <w:rFonts w:cstheme="minorHAnsi"/>
          <w:sz w:val="28"/>
          <w:szCs w:val="28"/>
          <w:lang w:val="ru-RU"/>
        </w:rPr>
        <w:t>.</w:t>
      </w:r>
    </w:p>
    <w:p w14:paraId="60986419"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В отчете </w:t>
      </w:r>
      <w:r w:rsidRPr="00382CB1">
        <w:rPr>
          <w:rFonts w:cstheme="minorHAnsi"/>
          <w:sz w:val="28"/>
          <w:szCs w:val="28"/>
        </w:rPr>
        <w:t>SS</w:t>
      </w:r>
      <w:r w:rsidRPr="00382CB1">
        <w:rPr>
          <w:rFonts w:cstheme="minorHAnsi"/>
          <w:sz w:val="28"/>
          <w:szCs w:val="28"/>
          <w:lang w:val="ru-RU"/>
        </w:rPr>
        <w:t xml:space="preserve"> компания должна включить предостерегающее заявление в параграфе, сообщающим о результатах </w:t>
      </w:r>
      <w:r w:rsidRPr="00382CB1">
        <w:rPr>
          <w:rFonts w:cstheme="minorHAnsi"/>
          <w:sz w:val="28"/>
          <w:szCs w:val="28"/>
        </w:rPr>
        <w:t>SS</w:t>
      </w:r>
      <w:r w:rsidRPr="00382CB1">
        <w:rPr>
          <w:rFonts w:cstheme="minorHAnsi"/>
          <w:sz w:val="28"/>
          <w:szCs w:val="28"/>
          <w:lang w:val="ru-RU"/>
        </w:rPr>
        <w:t xml:space="preserve"> либо сразу после него.</w:t>
      </w:r>
    </w:p>
    <w:p w14:paraId="5144EDAB"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Пример предупреждающего заявления:</w:t>
      </w:r>
    </w:p>
    <w:p w14:paraId="5C5EAA1D"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«Исследования </w:t>
      </w:r>
      <w:r w:rsidRPr="00382CB1">
        <w:rPr>
          <w:rFonts w:cstheme="minorHAnsi"/>
          <w:sz w:val="28"/>
          <w:szCs w:val="28"/>
        </w:rPr>
        <w:t>SS</w:t>
      </w:r>
      <w:r w:rsidRPr="00382CB1">
        <w:rPr>
          <w:rFonts w:cstheme="minorHAnsi"/>
          <w:sz w:val="28"/>
          <w:szCs w:val="28"/>
          <w:lang w:val="ru-RU"/>
        </w:rPr>
        <w:t xml:space="preserve"> в данном Отчете основаны на предварительных низкого уровня технических и экономических оценках и их недостаточно для выполнения оценки Минеральных Запасов и для получения уверенной экономической оценки на данной стадии Проекта или уверенно говорить о том, что заключения, сделанные на стадии </w:t>
      </w:r>
      <w:r w:rsidRPr="00382CB1">
        <w:rPr>
          <w:rFonts w:cstheme="minorHAnsi"/>
          <w:sz w:val="28"/>
          <w:szCs w:val="28"/>
        </w:rPr>
        <w:t>SS</w:t>
      </w:r>
      <w:r w:rsidRPr="00382CB1">
        <w:rPr>
          <w:rFonts w:cstheme="minorHAnsi"/>
          <w:sz w:val="28"/>
          <w:szCs w:val="28"/>
          <w:lang w:val="ru-RU"/>
        </w:rPr>
        <w:t xml:space="preserve"> будут реализованы».</w:t>
      </w:r>
    </w:p>
    <w:p w14:paraId="36B0F114"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Обсуждая «обоснованные перспективы конечного рентабельного извлечения минерального сырья» (раздел 22), оценка (предварительного плана) требуется для всех факторов, которые могут повлиять на перспективы экономически рентабельного извлечения, включая модифицирующие факторы, оцененные Компетентным Лицом. Несмотря на то, что исследования уровня </w:t>
      </w:r>
      <w:r w:rsidRPr="00382CB1">
        <w:rPr>
          <w:rFonts w:cstheme="minorHAnsi"/>
          <w:sz w:val="28"/>
          <w:szCs w:val="28"/>
        </w:rPr>
        <w:t>SS</w:t>
      </w:r>
      <w:r w:rsidRPr="00382CB1">
        <w:rPr>
          <w:rFonts w:cstheme="minorHAnsi"/>
          <w:sz w:val="28"/>
          <w:szCs w:val="28"/>
          <w:lang w:val="ru-RU"/>
        </w:rPr>
        <w:t xml:space="preserve"> могут обеспечить основу для оценки Минеральных Ресурсов, Кодекс </w:t>
      </w:r>
      <w:r w:rsidRPr="00382CB1">
        <w:rPr>
          <w:rFonts w:cstheme="minorHAnsi"/>
          <w:sz w:val="28"/>
          <w:szCs w:val="28"/>
        </w:rPr>
        <w:t>KAZRC</w:t>
      </w:r>
      <w:r w:rsidRPr="00382CB1">
        <w:rPr>
          <w:rFonts w:cstheme="minorHAnsi"/>
          <w:sz w:val="28"/>
          <w:szCs w:val="28"/>
          <w:lang w:val="ru-RU"/>
        </w:rPr>
        <w:t xml:space="preserve"> не требует обязательного наличия </w:t>
      </w:r>
      <w:r w:rsidRPr="00382CB1">
        <w:rPr>
          <w:rFonts w:cstheme="minorHAnsi"/>
          <w:sz w:val="28"/>
          <w:szCs w:val="28"/>
        </w:rPr>
        <w:t>SS</w:t>
      </w:r>
      <w:r w:rsidRPr="00382CB1">
        <w:rPr>
          <w:rFonts w:cstheme="minorHAnsi"/>
          <w:sz w:val="28"/>
          <w:szCs w:val="28"/>
          <w:lang w:val="ru-RU"/>
        </w:rPr>
        <w:t xml:space="preserve"> для отчетности о Минеральных Ресурсах.</w:t>
      </w:r>
    </w:p>
    <w:p w14:paraId="3D1D5E3D"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Концептуальная ТЭО обычно является первой  экономической  оценкой  проекта  и  ее результаты могут быть основаны на комбинации первичных геологических материалов Проекта с рядом  предположений, взятых  по  аналогии с однотипными месторождениями. Концептуальное ТЭО также обычно используется компаниями для сравнительных целей при планировании проектов.</w:t>
      </w:r>
    </w:p>
    <w:p w14:paraId="2AB51910"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Отчетность о результатах </w:t>
      </w:r>
      <w:r w:rsidRPr="00382CB1">
        <w:rPr>
          <w:rFonts w:cstheme="minorHAnsi"/>
          <w:sz w:val="28"/>
          <w:szCs w:val="28"/>
        </w:rPr>
        <w:t>SS</w:t>
      </w:r>
      <w:r w:rsidRPr="00382CB1">
        <w:rPr>
          <w:rFonts w:cstheme="minorHAnsi"/>
          <w:sz w:val="28"/>
          <w:szCs w:val="28"/>
          <w:lang w:val="ru-RU"/>
        </w:rPr>
        <w:t xml:space="preserve"> должна проводиться с осторожностью, чтобы не было никаких признаков того, что Минеральные Запасы были оценены или что экономическая оценка Проекта выполнена надежно. В этом отношении уместно указать исходные данные о Минеральных Ресурсах в </w:t>
      </w:r>
      <w:r w:rsidRPr="00382CB1">
        <w:rPr>
          <w:rFonts w:cstheme="minorHAnsi"/>
          <w:sz w:val="28"/>
          <w:szCs w:val="28"/>
        </w:rPr>
        <w:t>SS</w:t>
      </w:r>
      <w:r w:rsidRPr="00382CB1">
        <w:rPr>
          <w:rFonts w:cstheme="minorHAnsi"/>
          <w:sz w:val="28"/>
          <w:szCs w:val="28"/>
          <w:lang w:val="ru-RU"/>
        </w:rPr>
        <w:t xml:space="preserve"> и применяемые процессы, но обычно нецелесообразно сообщать разведанные тонны и содержания, как если бы </w:t>
      </w:r>
      <w:r w:rsidRPr="00382CB1">
        <w:rPr>
          <w:rFonts w:cstheme="minorHAnsi"/>
          <w:sz w:val="28"/>
          <w:szCs w:val="28"/>
          <w:lang w:val="ru-RU"/>
        </w:rPr>
        <w:lastRenderedPageBreak/>
        <w:t xml:space="preserve">они были Минеральными Запасами. Несмотря на то, что предварительные исследования по горной части и переработке минерального сырья проведены в процессе подготовки </w:t>
      </w:r>
      <w:r w:rsidRPr="00382CB1">
        <w:rPr>
          <w:rFonts w:cstheme="minorHAnsi"/>
          <w:sz w:val="28"/>
          <w:szCs w:val="28"/>
        </w:rPr>
        <w:t>SS</w:t>
      </w:r>
      <w:r w:rsidRPr="00382CB1">
        <w:rPr>
          <w:rFonts w:cstheme="minorHAnsi"/>
          <w:sz w:val="28"/>
          <w:szCs w:val="28"/>
          <w:lang w:val="ru-RU"/>
        </w:rPr>
        <w:t>, они не должны использоваться для декларирования о Минеральных Запасов.</w:t>
      </w:r>
    </w:p>
    <w:p w14:paraId="008F388F" w14:textId="66C1878A" w:rsidR="00E61390" w:rsidRPr="00382CB1" w:rsidRDefault="00E61390" w:rsidP="00E61390">
      <w:pPr>
        <w:jc w:val="both"/>
        <w:rPr>
          <w:rFonts w:cstheme="minorHAnsi"/>
          <w:sz w:val="28"/>
          <w:szCs w:val="28"/>
          <w:lang w:val="ru-RU"/>
        </w:rPr>
      </w:pPr>
      <w:r w:rsidRPr="00382CB1">
        <w:rPr>
          <w:rFonts w:cstheme="minorHAnsi"/>
          <w:sz w:val="28"/>
          <w:szCs w:val="28"/>
          <w:lang w:val="ru-RU"/>
        </w:rPr>
        <w:t>41.</w:t>
      </w:r>
      <w:r w:rsidRPr="00382CB1">
        <w:rPr>
          <w:rFonts w:cstheme="minorHAnsi"/>
          <w:sz w:val="28"/>
          <w:szCs w:val="28"/>
          <w:lang w:val="ru-RU"/>
        </w:rPr>
        <w:tab/>
        <w:t>Предварительное Технико-экономическое обоснование (</w:t>
      </w:r>
      <w:r w:rsidRPr="00382CB1">
        <w:rPr>
          <w:rFonts w:cstheme="minorHAnsi"/>
          <w:sz w:val="28"/>
          <w:szCs w:val="28"/>
        </w:rPr>
        <w:t>Preliminary</w:t>
      </w:r>
      <w:r w:rsidRPr="00382CB1">
        <w:rPr>
          <w:rFonts w:cstheme="minorHAnsi"/>
          <w:sz w:val="28"/>
          <w:szCs w:val="28"/>
          <w:lang w:val="ru-RU"/>
        </w:rPr>
        <w:t xml:space="preserve"> </w:t>
      </w:r>
      <w:r w:rsidRPr="00382CB1">
        <w:rPr>
          <w:rFonts w:cstheme="minorHAnsi"/>
          <w:sz w:val="28"/>
          <w:szCs w:val="28"/>
        </w:rPr>
        <w:t>Feasibility</w:t>
      </w:r>
      <w:r w:rsidRPr="00382CB1">
        <w:rPr>
          <w:rFonts w:cstheme="minorHAnsi"/>
          <w:sz w:val="28"/>
          <w:szCs w:val="28"/>
          <w:lang w:val="ru-RU"/>
        </w:rPr>
        <w:t xml:space="preserve"> </w:t>
      </w:r>
      <w:r w:rsidRPr="00382CB1">
        <w:rPr>
          <w:rFonts w:cstheme="minorHAnsi"/>
          <w:sz w:val="28"/>
          <w:szCs w:val="28"/>
        </w:rPr>
        <w:t>Study</w:t>
      </w:r>
      <w:r w:rsidRPr="00382CB1">
        <w:rPr>
          <w:rFonts w:cstheme="minorHAnsi"/>
          <w:sz w:val="28"/>
          <w:szCs w:val="28"/>
          <w:lang w:val="ru-RU"/>
        </w:rPr>
        <w:t xml:space="preserve">, </w:t>
      </w:r>
      <w:r w:rsidRPr="00382CB1">
        <w:rPr>
          <w:rFonts w:cstheme="minorHAnsi"/>
          <w:sz w:val="28"/>
          <w:szCs w:val="28"/>
        </w:rPr>
        <w:t>PFS</w:t>
      </w:r>
      <w:r w:rsidRPr="00382CB1">
        <w:rPr>
          <w:rFonts w:cstheme="minorHAnsi"/>
          <w:sz w:val="28"/>
          <w:szCs w:val="28"/>
          <w:lang w:val="ru-RU"/>
        </w:rPr>
        <w:t>) – это комплексное исследование вариантов технической и экономической эффективности горнодобывающего проекта, доведённого до уровня, когда установлен предпочтительный метод добычи (в случае подземной отработки), или конфигурация карьера (в случае открытой разработки), а также определён эффективный метод переработки минерального сырья. Оно включает в себя финансовый анализ на основе разумных предположений, Модифицирующих Факторов и оценки любых других релевантных</w:t>
      </w:r>
      <w:r w:rsidRPr="00382CB1">
        <w:rPr>
          <w:rFonts w:cstheme="minorHAnsi"/>
          <w:sz w:val="28"/>
          <w:szCs w:val="28"/>
          <w:lang w:val="ru-RU"/>
        </w:rPr>
        <w:tab/>
        <w:t>факторов,</w:t>
      </w:r>
      <w:r w:rsidRPr="00382CB1">
        <w:rPr>
          <w:rFonts w:cstheme="minorHAnsi"/>
          <w:sz w:val="28"/>
          <w:szCs w:val="28"/>
          <w:lang w:val="ru-RU"/>
        </w:rPr>
        <w:tab/>
        <w:t>который</w:t>
      </w:r>
      <w:r w:rsidRPr="00382CB1">
        <w:rPr>
          <w:rFonts w:cstheme="minorHAnsi"/>
          <w:sz w:val="28"/>
          <w:szCs w:val="28"/>
          <w:lang w:val="ru-RU"/>
        </w:rPr>
        <w:tab/>
        <w:t>позволяет</w:t>
      </w:r>
      <w:r w:rsidRPr="00382CB1">
        <w:rPr>
          <w:rFonts w:cstheme="minorHAnsi"/>
          <w:sz w:val="28"/>
          <w:szCs w:val="28"/>
          <w:lang w:val="ru-RU"/>
        </w:rPr>
        <w:tab/>
        <w:t>Компетентному</w:t>
      </w:r>
      <w:r w:rsidRPr="00382CB1">
        <w:rPr>
          <w:rFonts w:cstheme="minorHAnsi"/>
          <w:sz w:val="28"/>
          <w:szCs w:val="28"/>
          <w:lang w:val="ru-RU"/>
        </w:rPr>
        <w:tab/>
        <w:t>Лицу,</w:t>
      </w:r>
      <w:r w:rsidRPr="00382CB1">
        <w:rPr>
          <w:rFonts w:cstheme="minorHAnsi"/>
          <w:sz w:val="28"/>
          <w:szCs w:val="28"/>
          <w:lang w:val="ru-RU"/>
        </w:rPr>
        <w:tab/>
        <w:t>действуя</w:t>
      </w:r>
      <w:r w:rsidRPr="00382CB1">
        <w:rPr>
          <w:rFonts w:cstheme="minorHAnsi"/>
          <w:sz w:val="28"/>
          <w:szCs w:val="28"/>
          <w:lang w:val="ru-RU"/>
        </w:rPr>
        <w:tab/>
        <w:t>с достаточными основаниями, определить, все или часть Минеральных Ресурсов могут быть переведены в Минеральные Запасы на момент предоставления отчетности. Предварительное Технико-экономическое обоснование характеризуется более низким уровнем</w:t>
      </w:r>
      <w:r w:rsidRPr="00382CB1">
        <w:rPr>
          <w:rFonts w:cstheme="minorHAnsi"/>
          <w:sz w:val="28"/>
          <w:szCs w:val="28"/>
          <w:lang w:val="ru-RU"/>
        </w:rPr>
        <w:tab/>
        <w:t>достоверности</w:t>
      </w:r>
      <w:r w:rsidRPr="00382CB1">
        <w:rPr>
          <w:rFonts w:cstheme="minorHAnsi"/>
          <w:sz w:val="28"/>
          <w:szCs w:val="28"/>
          <w:lang w:val="ru-RU"/>
        </w:rPr>
        <w:tab/>
        <w:t>по</w:t>
      </w:r>
      <w:r w:rsidR="00582AFB">
        <w:rPr>
          <w:rFonts w:cstheme="minorHAnsi"/>
          <w:sz w:val="28"/>
          <w:szCs w:val="28"/>
          <w:lang w:val="ru-RU"/>
        </w:rPr>
        <w:t xml:space="preserve"> с</w:t>
      </w:r>
      <w:r w:rsidRPr="00382CB1">
        <w:rPr>
          <w:rFonts w:cstheme="minorHAnsi"/>
          <w:sz w:val="28"/>
          <w:szCs w:val="28"/>
          <w:lang w:val="ru-RU"/>
        </w:rPr>
        <w:t>равнению</w:t>
      </w:r>
      <w:r w:rsidRPr="00382CB1">
        <w:rPr>
          <w:rFonts w:cstheme="minorHAnsi"/>
          <w:sz w:val="28"/>
          <w:szCs w:val="28"/>
          <w:lang w:val="ru-RU"/>
        </w:rPr>
        <w:tab/>
        <w:t>с</w:t>
      </w:r>
      <w:r w:rsidRPr="00382CB1">
        <w:rPr>
          <w:rFonts w:cstheme="minorHAnsi"/>
          <w:sz w:val="28"/>
          <w:szCs w:val="28"/>
          <w:lang w:val="ru-RU"/>
        </w:rPr>
        <w:tab/>
        <w:t>детальным</w:t>
      </w:r>
      <w:r w:rsidRPr="00382CB1">
        <w:rPr>
          <w:rFonts w:cstheme="minorHAnsi"/>
          <w:sz w:val="28"/>
          <w:szCs w:val="28"/>
          <w:lang w:val="ru-RU"/>
        </w:rPr>
        <w:tab/>
        <w:t>Технико-</w:t>
      </w:r>
      <w:r w:rsidRPr="00382CB1">
        <w:rPr>
          <w:rFonts w:cstheme="minorHAnsi"/>
          <w:sz w:val="28"/>
          <w:szCs w:val="28"/>
          <w:lang w:val="ru-RU"/>
        </w:rPr>
        <w:tab/>
        <w:t>экономическим обоснованием.</w:t>
      </w:r>
    </w:p>
    <w:p w14:paraId="11796CD7"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Согласно раздела 31, оценка всех Модифицирующих Факторов требуется для определения того, какое количество Измеренных и Выявленных Ресурсов могут быть конвертированы в Минеральные Запасы.</w:t>
      </w:r>
    </w:p>
    <w:p w14:paraId="7A5131FF"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Предварительное Технико-экономическое обоснование включает оценку всех Модифицирующих факторов (в соответствии с разделом 4 Таблицы №1) для того, чтобы продемонстрировать экономическую жизнеспособность Проекта и поддержать оценку Минеральных Запасов в Публичном отчете.</w:t>
      </w:r>
    </w:p>
    <w:p w14:paraId="17F7EA54"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Предварительное технико-экономическое обоснование определяет предпочтительные требования и мощности по добыче, переработке и инфраструктуре Проекта, но не в окончательном варианте. Детальные оценки экологических и социально-экономических воздействий и требований также будут изучаться позднее. Предварительное технико-экономическое обоснование выделяет области, которые требуют дальнейшего доизучения на заключительном этапе исследования.</w:t>
      </w:r>
    </w:p>
    <w:p w14:paraId="1CE55CED"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42.</w:t>
      </w:r>
      <w:r w:rsidRPr="00382CB1">
        <w:rPr>
          <w:rFonts w:cstheme="minorHAnsi"/>
          <w:sz w:val="28"/>
          <w:szCs w:val="28"/>
          <w:lang w:val="ru-RU"/>
        </w:rPr>
        <w:tab/>
        <w:t>Детальное Технико-экономическое обоснование (</w:t>
      </w:r>
      <w:r w:rsidRPr="00382CB1">
        <w:rPr>
          <w:rFonts w:cstheme="minorHAnsi"/>
          <w:sz w:val="28"/>
          <w:szCs w:val="28"/>
        </w:rPr>
        <w:t>Feasibility</w:t>
      </w:r>
      <w:r w:rsidRPr="00382CB1">
        <w:rPr>
          <w:rFonts w:cstheme="minorHAnsi"/>
          <w:sz w:val="28"/>
          <w:szCs w:val="28"/>
          <w:lang w:val="ru-RU"/>
        </w:rPr>
        <w:t xml:space="preserve"> </w:t>
      </w:r>
      <w:r w:rsidRPr="00382CB1">
        <w:rPr>
          <w:rFonts w:cstheme="minorHAnsi"/>
          <w:sz w:val="28"/>
          <w:szCs w:val="28"/>
        </w:rPr>
        <w:t>Study</w:t>
      </w:r>
      <w:r w:rsidRPr="00382CB1">
        <w:rPr>
          <w:rFonts w:cstheme="minorHAnsi"/>
          <w:sz w:val="28"/>
          <w:szCs w:val="28"/>
          <w:lang w:val="ru-RU"/>
        </w:rPr>
        <w:t xml:space="preserve">, </w:t>
      </w:r>
      <w:r w:rsidRPr="00382CB1">
        <w:rPr>
          <w:rFonts w:cstheme="minorHAnsi"/>
          <w:sz w:val="28"/>
          <w:szCs w:val="28"/>
        </w:rPr>
        <w:t>FS</w:t>
      </w:r>
      <w:r w:rsidRPr="00382CB1">
        <w:rPr>
          <w:rFonts w:cstheme="minorHAnsi"/>
          <w:sz w:val="28"/>
          <w:szCs w:val="28"/>
          <w:lang w:val="ru-RU"/>
        </w:rPr>
        <w:t xml:space="preserve">) - это всестороннее комплексное техническое и экономическое исследование выбранного варианта развития горнодобывающего проекта, которое включает в себя должным образом детализированную оценку применимых Модифицирующих Факторов, а также оценку любых других соответствующих эксплуатационных факторов и детальный финансовый анализ, необходимых, чтобы продемонстрировать на момент представления отчетности, что возможность извлечения полезных ископаемых обоснована (рентабельность отработки). Результаты исследования могут обоснованно служить в качестве основания для принятия окончательного решения инициатором проекта или финансовым учреждением о вхождении - финансировании развития проекта. Детальное ТЭО характеризуется  более  высоким  уровнем  достоверности по сравнению с Предварительным Технико-экономическим </w:t>
      </w:r>
      <w:r w:rsidRPr="00382CB1">
        <w:rPr>
          <w:rFonts w:cstheme="minorHAnsi"/>
          <w:sz w:val="28"/>
          <w:szCs w:val="28"/>
          <w:lang w:val="ru-RU"/>
        </w:rPr>
        <w:lastRenderedPageBreak/>
        <w:t>обоснованием.</w:t>
      </w:r>
    </w:p>
    <w:p w14:paraId="262AC3B8"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Кодекс </w:t>
      </w:r>
      <w:r w:rsidRPr="00382CB1">
        <w:rPr>
          <w:rFonts w:cstheme="minorHAnsi"/>
          <w:sz w:val="28"/>
          <w:szCs w:val="28"/>
        </w:rPr>
        <w:t>KAZRC</w:t>
      </w:r>
      <w:r w:rsidRPr="00382CB1">
        <w:rPr>
          <w:rFonts w:cstheme="minorHAnsi"/>
          <w:sz w:val="28"/>
          <w:szCs w:val="28"/>
          <w:lang w:val="ru-RU"/>
        </w:rPr>
        <w:t xml:space="preserve"> не требует проведения Детального Технико-экономического обоснования для конвертации Минеральных Ресурсов в Минеральные Запасы; тем не менее, требуется, чтобы было проведено, по крайней мере, Предварительное </w:t>
      </w:r>
      <w:proofErr w:type="spellStart"/>
      <w:r w:rsidRPr="00382CB1">
        <w:rPr>
          <w:rFonts w:cstheme="minorHAnsi"/>
          <w:sz w:val="28"/>
          <w:szCs w:val="28"/>
          <w:lang w:val="ru-RU"/>
        </w:rPr>
        <w:t>Техникоэкономическое</w:t>
      </w:r>
      <w:proofErr w:type="spellEnd"/>
      <w:r w:rsidRPr="00382CB1">
        <w:rPr>
          <w:rFonts w:cstheme="minorHAnsi"/>
          <w:sz w:val="28"/>
          <w:szCs w:val="28"/>
          <w:lang w:val="ru-RU"/>
        </w:rPr>
        <w:t xml:space="preserve"> обоснование, в котором будет определен план добычи, который будет технически осуществим и экономически оправдан, и существенные Модифицирующие Факторы оценены.</w:t>
      </w:r>
    </w:p>
    <w:p w14:paraId="51A33898"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Такие термины, как «Банковское технико-экономическое обоснование (</w:t>
      </w:r>
      <w:r w:rsidRPr="00382CB1">
        <w:rPr>
          <w:rFonts w:cstheme="minorHAnsi"/>
          <w:sz w:val="28"/>
          <w:szCs w:val="28"/>
        </w:rPr>
        <w:t>Bankable</w:t>
      </w:r>
      <w:r w:rsidRPr="00382CB1">
        <w:rPr>
          <w:rFonts w:cstheme="minorHAnsi"/>
          <w:sz w:val="28"/>
          <w:szCs w:val="28"/>
          <w:lang w:val="ru-RU"/>
        </w:rPr>
        <w:t xml:space="preserve"> </w:t>
      </w:r>
      <w:r w:rsidRPr="00382CB1">
        <w:rPr>
          <w:rFonts w:cstheme="minorHAnsi"/>
          <w:sz w:val="28"/>
          <w:szCs w:val="28"/>
        </w:rPr>
        <w:t>Feasibility</w:t>
      </w:r>
      <w:r w:rsidRPr="00382CB1">
        <w:rPr>
          <w:rFonts w:cstheme="minorHAnsi"/>
          <w:sz w:val="28"/>
          <w:szCs w:val="28"/>
          <w:lang w:val="ru-RU"/>
        </w:rPr>
        <w:t xml:space="preserve"> </w:t>
      </w:r>
      <w:r w:rsidRPr="00382CB1">
        <w:rPr>
          <w:rFonts w:cstheme="minorHAnsi"/>
          <w:sz w:val="28"/>
          <w:szCs w:val="28"/>
        </w:rPr>
        <w:t>Study</w:t>
      </w:r>
      <w:r w:rsidRPr="00382CB1">
        <w:rPr>
          <w:rFonts w:cstheme="minorHAnsi"/>
          <w:sz w:val="28"/>
          <w:szCs w:val="28"/>
          <w:lang w:val="ru-RU"/>
        </w:rPr>
        <w:t>) и «Окончательное технико-экономическое обоснование (</w:t>
      </w:r>
      <w:r w:rsidRPr="00382CB1">
        <w:rPr>
          <w:rFonts w:cstheme="minorHAnsi"/>
          <w:sz w:val="28"/>
          <w:szCs w:val="28"/>
        </w:rPr>
        <w:t>Definitive</w:t>
      </w:r>
      <w:r w:rsidRPr="00382CB1">
        <w:rPr>
          <w:rFonts w:cstheme="minorHAnsi"/>
          <w:sz w:val="28"/>
          <w:szCs w:val="28"/>
          <w:lang w:val="ru-RU"/>
        </w:rPr>
        <w:t xml:space="preserve"> </w:t>
      </w:r>
      <w:r w:rsidRPr="00382CB1">
        <w:rPr>
          <w:rFonts w:cstheme="minorHAnsi"/>
          <w:sz w:val="28"/>
          <w:szCs w:val="28"/>
        </w:rPr>
        <w:t>Feasibility</w:t>
      </w:r>
      <w:r w:rsidRPr="00382CB1">
        <w:rPr>
          <w:rFonts w:cstheme="minorHAnsi"/>
          <w:sz w:val="28"/>
          <w:szCs w:val="28"/>
          <w:lang w:val="ru-RU"/>
        </w:rPr>
        <w:t xml:space="preserve"> </w:t>
      </w:r>
      <w:r w:rsidRPr="00382CB1">
        <w:rPr>
          <w:rFonts w:cstheme="minorHAnsi"/>
          <w:sz w:val="28"/>
          <w:szCs w:val="28"/>
        </w:rPr>
        <w:t>Study</w:t>
      </w:r>
      <w:r w:rsidRPr="00382CB1">
        <w:rPr>
          <w:rFonts w:cstheme="minorHAnsi"/>
          <w:sz w:val="28"/>
          <w:szCs w:val="28"/>
          <w:lang w:val="ru-RU"/>
        </w:rPr>
        <w:t>)», являются эквивалентами Детального ТЭО, как они определены в этом пункте.</w:t>
      </w:r>
    </w:p>
    <w:p w14:paraId="7DBEF562"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Детальное Технико-экономическое обоснование имеет более высокий уровень достоверности, чем Предварительное Технико-экономическое обоснование, и, обычно содержит Проект разработки месторождения (План добычи), с инфраструктурным и технологическим решениями, выполненные с достаточной тщательностью, чтобы служить основой для инвестиционного решения или поддержать финансирование проекта. Социальные, экологические и правительственные разрешительные документы и соглашения должны быть получены или будут получены в скором времени в ожидаемые сроки. Детальное Технико-экономическое обоснование должно содержать применение и описание всех Модифицирующих Факторов (как указано в Таблице 1, раздел 5) в более подробной форме, чем в Предварительном технико-экономическом обосновании, и может касаться вопросов реализации, таких как подробные графики добычи, наращивание строительства, и планы выполнения Проекта.</w:t>
      </w:r>
    </w:p>
    <w:p w14:paraId="21D8AC76"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Руководство по требованиям для </w:t>
      </w:r>
      <w:r w:rsidRPr="00382CB1">
        <w:rPr>
          <w:rFonts w:cstheme="minorHAnsi"/>
          <w:sz w:val="28"/>
          <w:szCs w:val="28"/>
        </w:rPr>
        <w:t>SS</w:t>
      </w:r>
      <w:r w:rsidRPr="00382CB1">
        <w:rPr>
          <w:rFonts w:cstheme="minorHAnsi"/>
          <w:sz w:val="28"/>
          <w:szCs w:val="28"/>
          <w:lang w:val="ru-RU"/>
        </w:rPr>
        <w:t xml:space="preserve">, </w:t>
      </w:r>
      <w:r w:rsidRPr="00382CB1">
        <w:rPr>
          <w:rFonts w:cstheme="minorHAnsi"/>
          <w:sz w:val="28"/>
          <w:szCs w:val="28"/>
        </w:rPr>
        <w:t>PFS</w:t>
      </w:r>
      <w:r w:rsidRPr="00382CB1">
        <w:rPr>
          <w:rFonts w:cstheme="minorHAnsi"/>
          <w:sz w:val="28"/>
          <w:szCs w:val="28"/>
          <w:lang w:val="ru-RU"/>
        </w:rPr>
        <w:t xml:space="preserve"> и </w:t>
      </w:r>
      <w:r w:rsidRPr="00382CB1">
        <w:rPr>
          <w:rFonts w:cstheme="minorHAnsi"/>
          <w:sz w:val="28"/>
          <w:szCs w:val="28"/>
        </w:rPr>
        <w:t>FS</w:t>
      </w:r>
      <w:r w:rsidRPr="00382CB1">
        <w:rPr>
          <w:rFonts w:cstheme="minorHAnsi"/>
          <w:sz w:val="28"/>
          <w:szCs w:val="28"/>
          <w:lang w:val="ru-RU"/>
        </w:rPr>
        <w:t xml:space="preserve"> включено в таблицу 2, прилагаемую в конце этого документа.</w:t>
      </w:r>
    </w:p>
    <w:p w14:paraId="105CE816" w14:textId="77777777" w:rsidR="00E61390" w:rsidRPr="00382CB1" w:rsidRDefault="00E61390" w:rsidP="00582AFB">
      <w:pPr>
        <w:jc w:val="center"/>
        <w:rPr>
          <w:rFonts w:cstheme="minorHAnsi"/>
          <w:sz w:val="28"/>
          <w:szCs w:val="28"/>
          <w:lang w:val="ru-RU"/>
        </w:rPr>
      </w:pPr>
      <w:r w:rsidRPr="00382CB1">
        <w:rPr>
          <w:rFonts w:cstheme="minorHAnsi"/>
          <w:sz w:val="28"/>
          <w:szCs w:val="28"/>
          <w:lang w:val="ru-RU"/>
        </w:rPr>
        <w:t>ИССЛЕДОВАНИЕ ЦЕН НА МИНЕРАЛЬНОЕ СЫРЬЕ И МАРКЕТИНГ</w:t>
      </w:r>
    </w:p>
    <w:p w14:paraId="574056D4"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43.</w:t>
      </w:r>
      <w:r w:rsidRPr="00382CB1">
        <w:rPr>
          <w:rFonts w:cstheme="minorHAnsi"/>
          <w:sz w:val="28"/>
          <w:szCs w:val="28"/>
          <w:lang w:val="ru-RU"/>
        </w:rPr>
        <w:tab/>
        <w:t>Цены на сырье и ожидаемые объемы продаж, используемые для оценки Минеральных Ресурсов и Минеральных Запасов, должны основываться на прогнозных оценках, отражающих разумные и приемлемые краткосрочные и долгосрочные ожидания Компании, подкрепленные имеющимися данными, которые могут включать консенсус- прогнозы, трехлетние средние показатели за последние годы, договоры купли-продажи или другие анализы цен (см. пункт 44 ниже для случаев, когда Публичное раскрытие не применяется).</w:t>
      </w:r>
    </w:p>
    <w:p w14:paraId="5A4FDDC1"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Выбранных цены и объемы продаж должны быть подтверждены соответствующей документацией.</w:t>
      </w:r>
    </w:p>
    <w:p w14:paraId="44FB0DA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Компетентное Лицо должно удостовериться, что эти цены и объемы соответствуют соглашениям о продаже и маркетинговым решениям или прогнозам.</w:t>
      </w:r>
    </w:p>
    <w:p w14:paraId="6E489A82"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При определенных обстоятельствах может оказаться целесообразным использовать разные цены для оценки Минеральных Ресурсов и Минеральных Запасов.</w:t>
      </w:r>
    </w:p>
    <w:p w14:paraId="725C664F"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Для текущих операций по добыче уровень  цен  и  объемов,  используемый для  оценки Минеральных Ресурсов и запасов полезных ископаемых, может отражать текущие рыночные условия для краткосрочных прогнозов, но при этом имеет </w:t>
      </w:r>
      <w:r w:rsidRPr="00382CB1">
        <w:rPr>
          <w:rFonts w:cstheme="minorHAnsi"/>
          <w:sz w:val="28"/>
          <w:szCs w:val="28"/>
          <w:lang w:val="ru-RU"/>
        </w:rPr>
        <w:lastRenderedPageBreak/>
        <w:t>тенденцию со временем повышаться или понижаться в сторону долгосрочных оценок цены и объема на основе ожиданий Компании. В отношении Минеральных Запасов полезных ископаемых, которые, как ожидается, будут произведены сверх срока действия краткосрочных прогнозов, Компания должна использовать долгосрочные ожидания в отношении цены и объемов производства.</w:t>
      </w:r>
    </w:p>
    <w:p w14:paraId="5DCDD2EB"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Для продукции, проданной  по  существующим  контрактам,  Минеральные  Запасы должны определяться на основе условий контракта. В отношении Минеральных Запасов, для которых добыча будет превышать количества, указанные в существующих контрактах, следует сделать разумные и обоснованные допущения для определения вероятности продления срока действия контракта и цен, применимых для оценки и представления отчетности по этим Минеральным Ресурсам и Минеральным Запасам.</w:t>
      </w:r>
    </w:p>
    <w:p w14:paraId="3C2162B4"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44.</w:t>
      </w:r>
      <w:r w:rsidRPr="00382CB1">
        <w:rPr>
          <w:rFonts w:cstheme="minorHAnsi"/>
          <w:sz w:val="28"/>
          <w:szCs w:val="28"/>
          <w:lang w:val="ru-RU"/>
        </w:rPr>
        <w:tab/>
        <w:t>Чтобы продемонстрировать экономическую осуществимость проекта, предполагаемые цены в сочетании с Модифицирующими Факторами должны применяться только к измеренным и выявленным Минеральным Ресурсам.</w:t>
      </w:r>
    </w:p>
    <w:p w14:paraId="67D46B5B"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Минеральные Запасы являются экономически извлекаемой частью  Измеренных и Выявленных Минеральных Ресурсов; следовательно, соответствующие оценки должны продемонстрировать на момент Заявления о том, что добыча является разумно обоснованной. Это требует, чтобы предположения относительно цены и объема товара или продукта, который будет продан, были сделаны на момент, когда рудник будет находиться в стадии производства.</w:t>
      </w:r>
    </w:p>
    <w:p w14:paraId="5B276556"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Минеральные Запасы оцениваются и публикуются для предоставления информации, касающейся стоимости месторождения и оценки риска, который может быть связан с его разработкой. Минеральные Запасы используются Компанией совместно с Минеральными Ресурсами для краткосрочного, долгосрочного и стратегического планирования. Они играют важную роль в бухгалтерском учете, включая оценку на предмет обесценивания, учет по справедливой стоимости, расчет амортизации, расчет погашения и предполагаемые ставки по накопленным обязательствам по выбытию активов. Для  предоставления информации,  соответствующей  планам Компании и финансовой отчетности, цены на сырьевые товары, используемые для определения Минеральных Запасов, должны основываться на прогнозных оценках, отражающих разумные ожидания Компании, что должно подтверждаться всеми имеющимися доказательствами.</w:t>
      </w:r>
    </w:p>
    <w:p w14:paraId="116787EF"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Большинство товаров, независимо от того, проданы ли они по биржевым котировкам (например, базовые металлы и драгоценные металлы) или по долгосрочному контракту (например,  уголь  и  железная  руда),  испытывают  долгосрочные  циклы  цен.  Ценовые ожидания  должны  отражать  текущие  цены,  а  также  долгосрочные  тенденции. Чрезмерно оптимистичные или пессимистичные ожидания в отношении цен и объемов могут привести к значительному переоценке или недооценке Минеральных Запасов. Компания и Компетентное Лицо обязаны определить, являются ли цены, используемые для оценки Минеральных Запасов, разумными и приемлемыми с учетом всей доступной информации.</w:t>
      </w:r>
    </w:p>
    <w:p w14:paraId="4BD6A0AF"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В периоды низких цен горнодобывающая компания может временно приостановить </w:t>
      </w:r>
      <w:r w:rsidRPr="00382CB1">
        <w:rPr>
          <w:rFonts w:cstheme="minorHAnsi"/>
          <w:sz w:val="28"/>
          <w:szCs w:val="28"/>
          <w:lang w:val="ru-RU"/>
        </w:rPr>
        <w:lastRenderedPageBreak/>
        <w:t>свою деятельность и сохранить полезные ископаемые до восстановления цен. Когда такие действия предпринимаются, Публичные отчеты должны обновляться, чтобы отражать новую информацию. При таких обстоятельствах ранее опубликованные Минеральные Запасы, возможно, не нужно переклассифицировать, при условии, что, по мнению Компании и Компетентного Лица, можно разумно и обоснованно предположить более высокие будущие цены, и можно разумно ожидать, что работы возобновятся. Документация, подтверждающая ожидания Компании, должна включать: сравнение цен с историческими и текущими ценами и форвардными кривыми, контракты и рыночные соображения, курсы валют, где это применимо, источники от третьих лиц и дополнительную информацию.</w:t>
      </w:r>
    </w:p>
    <w:p w14:paraId="03DF30A5"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45.</w:t>
      </w:r>
      <w:r w:rsidRPr="00382CB1">
        <w:rPr>
          <w:rFonts w:cstheme="minorHAnsi"/>
          <w:sz w:val="28"/>
          <w:szCs w:val="28"/>
          <w:lang w:val="ru-RU"/>
        </w:rPr>
        <w:tab/>
        <w:t>Раскрытие в Публичных отчетах цен на сырьевые товары, а иногда и затрат (включая другие Модифицирующие Факторы), используемых для оценки Минеральных Запасов, обычно требуется согласно Кодексу.</w:t>
      </w:r>
    </w:p>
    <w:p w14:paraId="2459DFF7"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В отсутствие применимых ценных бумаг или других законов, раскрывающих цены, могут быть случаи, например, когда продукт продается по долгосрочному контракту, условия которого являются конфиденциальными, когда существуют веские коммерческие причины для нераскрытия цен.</w:t>
      </w:r>
    </w:p>
    <w:p w14:paraId="26F1DF26"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Аналогичным образом, если раскрытие долгосрочных предположений о цене и / или стоимости, использованных в оценке, будет вредным для бизнеса Компании, например, когда торги по договорам купли-продажи или приобретения недвижимости или переговоры по договорам с третьими сторонами, неразглашение может быть оправданным.</w:t>
      </w:r>
    </w:p>
    <w:p w14:paraId="280A752B"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В любом случае при ситуациях, когда цены и / или затраты не раскрываются, причины должны быть задокументированы, а информация о цене и / или стоимости товара должна, тем не менее, быть доступной для проверки аудиторами или регулирующими органами, если это необходимо. Даже когда цены на товары и / или затраты исключаются из Публичного отчета, описание методологии, используемой для определения цен и / или затрат, должно быть раскрыто. Такое раскрытие должно быть сделано в форме, которая помогает аудитории Публичного отчета сформировать мнение, что используемые цены и / или затраты представляют собой разумные представления о будущих ценах и / или затратах. Исключения из раскрытия цен на товары и / или затраты, предлагаемые в пункте 44, подлежат и отменяются любыми обязательствами, налагаемыми применимыми правилами или другими законами.</w:t>
      </w:r>
    </w:p>
    <w:p w14:paraId="343DCD96" w14:textId="77777777" w:rsidR="00E61390" w:rsidRPr="00382CB1" w:rsidRDefault="00E61390" w:rsidP="00582AFB">
      <w:pPr>
        <w:jc w:val="center"/>
        <w:rPr>
          <w:rFonts w:cstheme="minorHAnsi"/>
          <w:sz w:val="28"/>
          <w:szCs w:val="28"/>
          <w:lang w:val="ru-RU"/>
        </w:rPr>
      </w:pPr>
      <w:r w:rsidRPr="00382CB1">
        <w:rPr>
          <w:rFonts w:cstheme="minorHAnsi"/>
          <w:sz w:val="28"/>
          <w:szCs w:val="28"/>
          <w:lang w:val="ru-RU"/>
        </w:rPr>
        <w:t>ЛИЦЕНЗИЯ И ПРАВОВЫЕ ТРЕБОВАНИЯ</w:t>
      </w:r>
    </w:p>
    <w:p w14:paraId="4204BA99"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46.</w:t>
      </w:r>
      <w:r w:rsidRPr="00382CB1">
        <w:rPr>
          <w:rFonts w:cstheme="minorHAnsi"/>
          <w:sz w:val="28"/>
          <w:szCs w:val="28"/>
          <w:lang w:val="ru-RU"/>
        </w:rPr>
        <w:tab/>
        <w:t>Для декларации Минеральных Запасов не должно быть никаких известных препятствий для добычи полезных ископаемых, связанных с отсутствием получения соответствующих разрешений.</w:t>
      </w:r>
    </w:p>
    <w:p w14:paraId="4A7767E2"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Компетентное лицо должно иметь обоснованные ожидания, часто опираясь на экспертов по правовым вопросам и разрешениям, что все разрешения, вспомогательные права (включая права на воду или другие права собственности) и разрешения, необходимые для добычи полезных ископаемых и, в соответствующих случаях, для переработки и сбыта, могут быть получены своевременно и </w:t>
      </w:r>
      <w:r w:rsidRPr="00382CB1">
        <w:rPr>
          <w:rFonts w:cstheme="minorHAnsi"/>
          <w:sz w:val="28"/>
          <w:szCs w:val="28"/>
          <w:lang w:val="ru-RU"/>
        </w:rPr>
        <w:lastRenderedPageBreak/>
        <w:t>поддерживаться для текущих операций.</w:t>
      </w:r>
    </w:p>
    <w:p w14:paraId="61D91CF2"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Компания должна завершить рассмотрение всех юридических и разрешительных требований и документировать результаты. Местные экологические законы и процессы должны быть приняты во внимание.</w:t>
      </w:r>
    </w:p>
    <w:p w14:paraId="61385391"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Чтобы продемонстрировать разумное ожидание того, что все разрешения, дополнительные права и разрешения могут быть получены, компания должна продемонстрировать понимание процедур, которым необходимо следовать для получения таких разрешений, дополнительных прав и разрешений. Демонстрация более раннего успеха в получении необходимых разрешений может использоваться чтобы показать вероятности будущего успеха.</w:t>
      </w:r>
    </w:p>
    <w:p w14:paraId="48EAD1D8"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Если разрешения требуются, но не существует определенной процедуры для получения таких разрешений, обоснованное ожидание успеха может быть трудно объяснить. Информация о риске при получении необходимых законных прав или разрешений должна быть раскрыта.</w:t>
      </w:r>
    </w:p>
    <w:p w14:paraId="73812215"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Известно, что правовая и разрешительная среда может со временем меняться и что такие изменения могут повлиять на оценку Минеральных Запасов. Если будет установлено, что препятствия возникают или устраняются, оценки Минеральных Запасов должны быть соответствующим образом скорректированы.</w:t>
      </w:r>
    </w:p>
    <w:p w14:paraId="3C057EEF"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Известно также, что некоторые разрешения не могут быть получены до тех пор, пока не будут оценены Минеральные Запасы. Веские коммерческие причины, по которым получение некоторых разрешений будет отложено необходимо раскрыть в Отчете. Также признается, что ожидание получения всех разрешений может привести к тому, что критическая информация не будет своевременно предоставлена инвесторам, и поэтому рекомендуется, чтобы раскрытие существенной информации происходило до получения соответствующих разрешений.</w:t>
      </w:r>
    </w:p>
    <w:p w14:paraId="39E361A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Документация должна включать краткое описание права собственности, требования, аренды или варианта, в соответствии с которым компания имеет право владеть или эксплуатировать собственность, с указанием любых условий, которые компания должна выполнить для получения или сохранения собственности.</w:t>
      </w:r>
    </w:p>
    <w:p w14:paraId="6327154B"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При наличии аренды или опционов должны быть указаны даты истечения срока действия такой аренды или опционов. Если для добычи полезных ископаемых потребуется продление аренды или опционов, следует разумно ожидать, что такое продление будет предоставлено.</w:t>
      </w:r>
    </w:p>
    <w:p w14:paraId="6D68CA37"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Условия лицензионного платежа и права прежних владельцев лицензии должны быть раскрыты.</w:t>
      </w:r>
    </w:p>
    <w:p w14:paraId="6822965D"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Информация, касающаяся рассмотрения правовых и разрешительных вопросов, должна быть документально отражена либо полностью, либо посредством ссылки на соответствующий ресурс. Информация может оставаться конфиденциальной для компании. Однако при необходимости она может быть передана регулирующим органам или аудиторам на конфиденциальной основе.</w:t>
      </w:r>
    </w:p>
    <w:p w14:paraId="11EF6DB1" w14:textId="77777777" w:rsidR="00E61390" w:rsidRPr="00382CB1" w:rsidRDefault="00E61390" w:rsidP="00582AFB">
      <w:pPr>
        <w:jc w:val="center"/>
        <w:rPr>
          <w:rFonts w:cstheme="minorHAnsi"/>
          <w:sz w:val="28"/>
          <w:szCs w:val="28"/>
          <w:lang w:val="ru-RU"/>
        </w:rPr>
      </w:pPr>
      <w:r w:rsidRPr="00382CB1">
        <w:rPr>
          <w:rFonts w:cstheme="minorHAnsi"/>
          <w:sz w:val="28"/>
          <w:szCs w:val="28"/>
          <w:lang w:val="ru-RU"/>
        </w:rPr>
        <w:t>УСТОЙЧИВОЕ РАЗВИТИЕ ПРОЕКТА</w:t>
      </w:r>
    </w:p>
    <w:p w14:paraId="294FD51A"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47.</w:t>
      </w:r>
      <w:r w:rsidRPr="00382CB1">
        <w:rPr>
          <w:rFonts w:cstheme="minorHAnsi"/>
          <w:sz w:val="28"/>
          <w:szCs w:val="28"/>
          <w:lang w:val="ru-RU"/>
        </w:rPr>
        <w:tab/>
        <w:t xml:space="preserve">Публичные отчеты должны содержать информацию о воздействии на окружающую среду, социальную сферу, здоровье и безопасность, которые </w:t>
      </w:r>
      <w:r w:rsidRPr="00382CB1">
        <w:rPr>
          <w:rFonts w:cstheme="minorHAnsi"/>
          <w:sz w:val="28"/>
          <w:szCs w:val="28"/>
          <w:lang w:val="ru-RU"/>
        </w:rPr>
        <w:lastRenderedPageBreak/>
        <w:t>ожидаются во время разработки, эксплуатации и после закрытия. Эти воздействия будут влиять на сотрудников, подрядчиков, население региона и клиентов.</w:t>
      </w:r>
    </w:p>
    <w:p w14:paraId="76AF09F4"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Исторические результаты деятельности компании должны использоваться для вовлечения всех заинтересованных сторон и планирования дальнейших успешных проектов для всех заинтересованных сторон.</w:t>
      </w:r>
    </w:p>
    <w:p w14:paraId="398DB10E" w14:textId="2614FB4D" w:rsidR="001572D7" w:rsidRPr="00382CB1" w:rsidRDefault="001572D7" w:rsidP="00E61390">
      <w:pPr>
        <w:jc w:val="both"/>
        <w:rPr>
          <w:rFonts w:cstheme="minorHAnsi"/>
          <w:sz w:val="28"/>
          <w:szCs w:val="28"/>
          <w:lang w:val="ru-RU"/>
        </w:rPr>
      </w:pPr>
    </w:p>
    <w:sectPr w:rsidR="001572D7" w:rsidRPr="00382CB1" w:rsidSect="00693B15">
      <w:footerReference w:type="default" r:id="rId7"/>
      <w:pgSz w:w="11910" w:h="16840"/>
      <w:pgMar w:top="851" w:right="851" w:bottom="851" w:left="851" w:header="0" w:footer="98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0C76D4" w14:textId="77777777" w:rsidR="008B69DF" w:rsidRDefault="008B69DF">
      <w:r>
        <w:separator/>
      </w:r>
    </w:p>
  </w:endnote>
  <w:endnote w:type="continuationSeparator" w:id="0">
    <w:p w14:paraId="477E4691" w14:textId="77777777" w:rsidR="008B69DF" w:rsidRDefault="008B69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1CD68E" w14:textId="77777777" w:rsidR="001572D7" w:rsidRDefault="001572D7">
    <w:pPr>
      <w:spacing w:line="14" w:lineRule="aut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E6A064" w14:textId="77777777" w:rsidR="008B69DF" w:rsidRDefault="008B69DF">
      <w:r>
        <w:separator/>
      </w:r>
    </w:p>
  </w:footnote>
  <w:footnote w:type="continuationSeparator" w:id="0">
    <w:p w14:paraId="780D3FEC" w14:textId="77777777" w:rsidR="008B69DF" w:rsidRDefault="008B69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7316F"/>
    <w:multiLevelType w:val="hybridMultilevel"/>
    <w:tmpl w:val="6898FBC2"/>
    <w:lvl w:ilvl="0" w:tplc="0ED07F5C">
      <w:start w:val="1"/>
      <w:numFmt w:val="bullet"/>
      <w:lvlText w:val="–"/>
      <w:lvlJc w:val="left"/>
      <w:pPr>
        <w:ind w:left="128" w:hanging="232"/>
      </w:pPr>
      <w:rPr>
        <w:rFonts w:ascii="Segoe UI Symbol" w:eastAsia="Segoe UI Symbol" w:hAnsi="Segoe UI Symbol" w:hint="default"/>
        <w:w w:val="136"/>
        <w:sz w:val="24"/>
        <w:szCs w:val="24"/>
      </w:rPr>
    </w:lvl>
    <w:lvl w:ilvl="1" w:tplc="8BD297EC">
      <w:start w:val="1"/>
      <w:numFmt w:val="bullet"/>
      <w:lvlText w:val="•"/>
      <w:lvlJc w:val="left"/>
      <w:pPr>
        <w:ind w:left="1096" w:hanging="232"/>
      </w:pPr>
      <w:rPr>
        <w:rFonts w:hint="default"/>
      </w:rPr>
    </w:lvl>
    <w:lvl w:ilvl="2" w:tplc="C540AAD0">
      <w:start w:val="1"/>
      <w:numFmt w:val="bullet"/>
      <w:lvlText w:val="•"/>
      <w:lvlJc w:val="left"/>
      <w:pPr>
        <w:ind w:left="2064" w:hanging="232"/>
      </w:pPr>
      <w:rPr>
        <w:rFonts w:hint="default"/>
      </w:rPr>
    </w:lvl>
    <w:lvl w:ilvl="3" w:tplc="86223C3E">
      <w:start w:val="1"/>
      <w:numFmt w:val="bullet"/>
      <w:lvlText w:val="•"/>
      <w:lvlJc w:val="left"/>
      <w:pPr>
        <w:ind w:left="3032" w:hanging="232"/>
      </w:pPr>
      <w:rPr>
        <w:rFonts w:hint="default"/>
      </w:rPr>
    </w:lvl>
    <w:lvl w:ilvl="4" w:tplc="A19C82F4">
      <w:start w:val="1"/>
      <w:numFmt w:val="bullet"/>
      <w:lvlText w:val="•"/>
      <w:lvlJc w:val="left"/>
      <w:pPr>
        <w:ind w:left="4001" w:hanging="232"/>
      </w:pPr>
      <w:rPr>
        <w:rFonts w:hint="default"/>
      </w:rPr>
    </w:lvl>
    <w:lvl w:ilvl="5" w:tplc="42B21586">
      <w:start w:val="1"/>
      <w:numFmt w:val="bullet"/>
      <w:lvlText w:val="•"/>
      <w:lvlJc w:val="left"/>
      <w:pPr>
        <w:ind w:left="4969" w:hanging="232"/>
      </w:pPr>
      <w:rPr>
        <w:rFonts w:hint="default"/>
      </w:rPr>
    </w:lvl>
    <w:lvl w:ilvl="6" w:tplc="074A08EE">
      <w:start w:val="1"/>
      <w:numFmt w:val="bullet"/>
      <w:lvlText w:val="•"/>
      <w:lvlJc w:val="left"/>
      <w:pPr>
        <w:ind w:left="5937" w:hanging="232"/>
      </w:pPr>
      <w:rPr>
        <w:rFonts w:hint="default"/>
      </w:rPr>
    </w:lvl>
    <w:lvl w:ilvl="7" w:tplc="0E2AB8D6">
      <w:start w:val="1"/>
      <w:numFmt w:val="bullet"/>
      <w:lvlText w:val="•"/>
      <w:lvlJc w:val="left"/>
      <w:pPr>
        <w:ind w:left="6905" w:hanging="232"/>
      </w:pPr>
      <w:rPr>
        <w:rFonts w:hint="default"/>
      </w:rPr>
    </w:lvl>
    <w:lvl w:ilvl="8" w:tplc="86D4EEA2">
      <w:start w:val="1"/>
      <w:numFmt w:val="bullet"/>
      <w:lvlText w:val="•"/>
      <w:lvlJc w:val="left"/>
      <w:pPr>
        <w:ind w:left="7873" w:hanging="232"/>
      </w:pPr>
      <w:rPr>
        <w:rFonts w:hint="default"/>
      </w:rPr>
    </w:lvl>
  </w:abstractNum>
  <w:abstractNum w:abstractNumId="1" w15:restartNumberingAfterBreak="0">
    <w:nsid w:val="1203227D"/>
    <w:multiLevelType w:val="hybridMultilevel"/>
    <w:tmpl w:val="A82E5A4C"/>
    <w:lvl w:ilvl="0" w:tplc="76C61FF4">
      <w:start w:val="23"/>
      <w:numFmt w:val="decimal"/>
      <w:lvlText w:val="%1."/>
      <w:lvlJc w:val="left"/>
      <w:pPr>
        <w:ind w:left="108" w:hanging="431"/>
        <w:jc w:val="right"/>
      </w:pPr>
      <w:rPr>
        <w:rFonts w:ascii="Calibri" w:eastAsia="Calibri" w:hAnsi="Calibri" w:hint="default"/>
        <w:b/>
        <w:bCs/>
        <w:spacing w:val="-1"/>
        <w:w w:val="99"/>
        <w:sz w:val="24"/>
        <w:szCs w:val="24"/>
      </w:rPr>
    </w:lvl>
    <w:lvl w:ilvl="1" w:tplc="318C16A8">
      <w:start w:val="1"/>
      <w:numFmt w:val="decimal"/>
      <w:lvlText w:val="%2."/>
      <w:lvlJc w:val="left"/>
      <w:pPr>
        <w:ind w:left="565" w:hanging="335"/>
        <w:jc w:val="left"/>
      </w:pPr>
      <w:rPr>
        <w:rFonts w:ascii="Calibri" w:eastAsia="Calibri" w:hAnsi="Calibri" w:hint="default"/>
        <w:w w:val="99"/>
        <w:sz w:val="22"/>
        <w:szCs w:val="22"/>
      </w:rPr>
    </w:lvl>
    <w:lvl w:ilvl="2" w:tplc="90045DD8">
      <w:start w:val="1"/>
      <w:numFmt w:val="bullet"/>
      <w:lvlText w:val="•"/>
      <w:lvlJc w:val="left"/>
      <w:pPr>
        <w:ind w:left="1581" w:hanging="335"/>
      </w:pPr>
      <w:rPr>
        <w:rFonts w:hint="default"/>
      </w:rPr>
    </w:lvl>
    <w:lvl w:ilvl="3" w:tplc="9828AAB6">
      <w:start w:val="1"/>
      <w:numFmt w:val="bullet"/>
      <w:lvlText w:val="•"/>
      <w:lvlJc w:val="left"/>
      <w:pPr>
        <w:ind w:left="2597" w:hanging="335"/>
      </w:pPr>
      <w:rPr>
        <w:rFonts w:hint="default"/>
      </w:rPr>
    </w:lvl>
    <w:lvl w:ilvl="4" w:tplc="893402C4">
      <w:start w:val="1"/>
      <w:numFmt w:val="bullet"/>
      <w:lvlText w:val="•"/>
      <w:lvlJc w:val="left"/>
      <w:pPr>
        <w:ind w:left="3613" w:hanging="335"/>
      </w:pPr>
      <w:rPr>
        <w:rFonts w:hint="default"/>
      </w:rPr>
    </w:lvl>
    <w:lvl w:ilvl="5" w:tplc="93C8DD16">
      <w:start w:val="1"/>
      <w:numFmt w:val="bullet"/>
      <w:lvlText w:val="•"/>
      <w:lvlJc w:val="left"/>
      <w:pPr>
        <w:ind w:left="4629" w:hanging="335"/>
      </w:pPr>
      <w:rPr>
        <w:rFonts w:hint="default"/>
      </w:rPr>
    </w:lvl>
    <w:lvl w:ilvl="6" w:tplc="24089F1E">
      <w:start w:val="1"/>
      <w:numFmt w:val="bullet"/>
      <w:lvlText w:val="•"/>
      <w:lvlJc w:val="left"/>
      <w:pPr>
        <w:ind w:left="5645" w:hanging="335"/>
      </w:pPr>
      <w:rPr>
        <w:rFonts w:hint="default"/>
      </w:rPr>
    </w:lvl>
    <w:lvl w:ilvl="7" w:tplc="D7268B36">
      <w:start w:val="1"/>
      <w:numFmt w:val="bullet"/>
      <w:lvlText w:val="•"/>
      <w:lvlJc w:val="left"/>
      <w:pPr>
        <w:ind w:left="6661" w:hanging="335"/>
      </w:pPr>
      <w:rPr>
        <w:rFonts w:hint="default"/>
      </w:rPr>
    </w:lvl>
    <w:lvl w:ilvl="8" w:tplc="2E805214">
      <w:start w:val="1"/>
      <w:numFmt w:val="bullet"/>
      <w:lvlText w:val="•"/>
      <w:lvlJc w:val="left"/>
      <w:pPr>
        <w:ind w:left="7677" w:hanging="335"/>
      </w:pPr>
      <w:rPr>
        <w:rFonts w:hint="default"/>
      </w:rPr>
    </w:lvl>
  </w:abstractNum>
  <w:abstractNum w:abstractNumId="2" w15:restartNumberingAfterBreak="0">
    <w:nsid w:val="127F48F9"/>
    <w:multiLevelType w:val="hybridMultilevel"/>
    <w:tmpl w:val="9F064B54"/>
    <w:lvl w:ilvl="0" w:tplc="6ED2F9FE">
      <w:start w:val="1"/>
      <w:numFmt w:val="bullet"/>
      <w:lvlText w:val="-"/>
      <w:lvlJc w:val="left"/>
      <w:pPr>
        <w:ind w:left="103" w:hanging="604"/>
      </w:pPr>
      <w:rPr>
        <w:rFonts w:ascii="Calibri" w:eastAsia="Calibri" w:hAnsi="Calibri" w:hint="default"/>
        <w:w w:val="99"/>
        <w:sz w:val="16"/>
        <w:szCs w:val="16"/>
      </w:rPr>
    </w:lvl>
    <w:lvl w:ilvl="1" w:tplc="4B1CD90A">
      <w:start w:val="1"/>
      <w:numFmt w:val="bullet"/>
      <w:lvlText w:val="•"/>
      <w:lvlJc w:val="left"/>
      <w:pPr>
        <w:ind w:left="871" w:hanging="604"/>
      </w:pPr>
      <w:rPr>
        <w:rFonts w:hint="default"/>
      </w:rPr>
    </w:lvl>
    <w:lvl w:ilvl="2" w:tplc="EB2A4830">
      <w:start w:val="1"/>
      <w:numFmt w:val="bullet"/>
      <w:lvlText w:val="•"/>
      <w:lvlJc w:val="left"/>
      <w:pPr>
        <w:ind w:left="1638" w:hanging="604"/>
      </w:pPr>
      <w:rPr>
        <w:rFonts w:hint="default"/>
      </w:rPr>
    </w:lvl>
    <w:lvl w:ilvl="3" w:tplc="B17C8160">
      <w:start w:val="1"/>
      <w:numFmt w:val="bullet"/>
      <w:lvlText w:val="•"/>
      <w:lvlJc w:val="left"/>
      <w:pPr>
        <w:ind w:left="2406" w:hanging="604"/>
      </w:pPr>
      <w:rPr>
        <w:rFonts w:hint="default"/>
      </w:rPr>
    </w:lvl>
    <w:lvl w:ilvl="4" w:tplc="D966A644">
      <w:start w:val="1"/>
      <w:numFmt w:val="bullet"/>
      <w:lvlText w:val="•"/>
      <w:lvlJc w:val="left"/>
      <w:pPr>
        <w:ind w:left="3173" w:hanging="604"/>
      </w:pPr>
      <w:rPr>
        <w:rFonts w:hint="default"/>
      </w:rPr>
    </w:lvl>
    <w:lvl w:ilvl="5" w:tplc="0178B912">
      <w:start w:val="1"/>
      <w:numFmt w:val="bullet"/>
      <w:lvlText w:val="•"/>
      <w:lvlJc w:val="left"/>
      <w:pPr>
        <w:ind w:left="3941" w:hanging="604"/>
      </w:pPr>
      <w:rPr>
        <w:rFonts w:hint="default"/>
      </w:rPr>
    </w:lvl>
    <w:lvl w:ilvl="6" w:tplc="8E387600">
      <w:start w:val="1"/>
      <w:numFmt w:val="bullet"/>
      <w:lvlText w:val="•"/>
      <w:lvlJc w:val="left"/>
      <w:pPr>
        <w:ind w:left="4709" w:hanging="604"/>
      </w:pPr>
      <w:rPr>
        <w:rFonts w:hint="default"/>
      </w:rPr>
    </w:lvl>
    <w:lvl w:ilvl="7" w:tplc="740699F0">
      <w:start w:val="1"/>
      <w:numFmt w:val="bullet"/>
      <w:lvlText w:val="•"/>
      <w:lvlJc w:val="left"/>
      <w:pPr>
        <w:ind w:left="5476" w:hanging="604"/>
      </w:pPr>
      <w:rPr>
        <w:rFonts w:hint="default"/>
      </w:rPr>
    </w:lvl>
    <w:lvl w:ilvl="8" w:tplc="F80477EC">
      <w:start w:val="1"/>
      <w:numFmt w:val="bullet"/>
      <w:lvlText w:val="•"/>
      <w:lvlJc w:val="left"/>
      <w:pPr>
        <w:ind w:left="6244" w:hanging="604"/>
      </w:pPr>
      <w:rPr>
        <w:rFonts w:hint="default"/>
      </w:rPr>
    </w:lvl>
  </w:abstractNum>
  <w:abstractNum w:abstractNumId="3" w15:restartNumberingAfterBreak="0">
    <w:nsid w:val="15424900"/>
    <w:multiLevelType w:val="hybridMultilevel"/>
    <w:tmpl w:val="B39AB4C0"/>
    <w:lvl w:ilvl="0" w:tplc="B68CC2D2">
      <w:start w:val="1"/>
      <w:numFmt w:val="bullet"/>
      <w:lvlText w:val="-"/>
      <w:lvlJc w:val="left"/>
      <w:pPr>
        <w:ind w:left="103" w:hanging="604"/>
      </w:pPr>
      <w:rPr>
        <w:rFonts w:ascii="Calibri" w:eastAsia="Calibri" w:hAnsi="Calibri" w:hint="default"/>
        <w:w w:val="99"/>
        <w:sz w:val="16"/>
        <w:szCs w:val="16"/>
      </w:rPr>
    </w:lvl>
    <w:lvl w:ilvl="1" w:tplc="892A7A2A">
      <w:start w:val="1"/>
      <w:numFmt w:val="bullet"/>
      <w:lvlText w:val="•"/>
      <w:lvlJc w:val="left"/>
      <w:pPr>
        <w:ind w:left="871" w:hanging="604"/>
      </w:pPr>
      <w:rPr>
        <w:rFonts w:hint="default"/>
      </w:rPr>
    </w:lvl>
    <w:lvl w:ilvl="2" w:tplc="19D2E620">
      <w:start w:val="1"/>
      <w:numFmt w:val="bullet"/>
      <w:lvlText w:val="•"/>
      <w:lvlJc w:val="left"/>
      <w:pPr>
        <w:ind w:left="1638" w:hanging="604"/>
      </w:pPr>
      <w:rPr>
        <w:rFonts w:hint="default"/>
      </w:rPr>
    </w:lvl>
    <w:lvl w:ilvl="3" w:tplc="EC24A490">
      <w:start w:val="1"/>
      <w:numFmt w:val="bullet"/>
      <w:lvlText w:val="•"/>
      <w:lvlJc w:val="left"/>
      <w:pPr>
        <w:ind w:left="2406" w:hanging="604"/>
      </w:pPr>
      <w:rPr>
        <w:rFonts w:hint="default"/>
      </w:rPr>
    </w:lvl>
    <w:lvl w:ilvl="4" w:tplc="A72CC53E">
      <w:start w:val="1"/>
      <w:numFmt w:val="bullet"/>
      <w:lvlText w:val="•"/>
      <w:lvlJc w:val="left"/>
      <w:pPr>
        <w:ind w:left="3174" w:hanging="604"/>
      </w:pPr>
      <w:rPr>
        <w:rFonts w:hint="default"/>
      </w:rPr>
    </w:lvl>
    <w:lvl w:ilvl="5" w:tplc="6E16AA60">
      <w:start w:val="1"/>
      <w:numFmt w:val="bullet"/>
      <w:lvlText w:val="•"/>
      <w:lvlJc w:val="left"/>
      <w:pPr>
        <w:ind w:left="3941" w:hanging="604"/>
      </w:pPr>
      <w:rPr>
        <w:rFonts w:hint="default"/>
      </w:rPr>
    </w:lvl>
    <w:lvl w:ilvl="6" w:tplc="D3F61B28">
      <w:start w:val="1"/>
      <w:numFmt w:val="bullet"/>
      <w:lvlText w:val="•"/>
      <w:lvlJc w:val="left"/>
      <w:pPr>
        <w:ind w:left="4709" w:hanging="604"/>
      </w:pPr>
      <w:rPr>
        <w:rFonts w:hint="default"/>
      </w:rPr>
    </w:lvl>
    <w:lvl w:ilvl="7" w:tplc="375C5338">
      <w:start w:val="1"/>
      <w:numFmt w:val="bullet"/>
      <w:lvlText w:val="•"/>
      <w:lvlJc w:val="left"/>
      <w:pPr>
        <w:ind w:left="5477" w:hanging="604"/>
      </w:pPr>
      <w:rPr>
        <w:rFonts w:hint="default"/>
      </w:rPr>
    </w:lvl>
    <w:lvl w:ilvl="8" w:tplc="EBD4E4EE">
      <w:start w:val="1"/>
      <w:numFmt w:val="bullet"/>
      <w:lvlText w:val="•"/>
      <w:lvlJc w:val="left"/>
      <w:pPr>
        <w:ind w:left="6244" w:hanging="604"/>
      </w:pPr>
      <w:rPr>
        <w:rFonts w:hint="default"/>
      </w:rPr>
    </w:lvl>
  </w:abstractNum>
  <w:abstractNum w:abstractNumId="4" w15:restartNumberingAfterBreak="0">
    <w:nsid w:val="190456F4"/>
    <w:multiLevelType w:val="hybridMultilevel"/>
    <w:tmpl w:val="257AFC04"/>
    <w:lvl w:ilvl="0" w:tplc="B748C794">
      <w:start w:val="1"/>
      <w:numFmt w:val="bullet"/>
      <w:lvlText w:val="•"/>
      <w:lvlJc w:val="left"/>
      <w:pPr>
        <w:ind w:left="283" w:hanging="176"/>
      </w:pPr>
      <w:rPr>
        <w:rFonts w:ascii="Calibri" w:eastAsia="Calibri" w:hAnsi="Calibri" w:hint="default"/>
        <w:sz w:val="24"/>
        <w:szCs w:val="24"/>
      </w:rPr>
    </w:lvl>
    <w:lvl w:ilvl="1" w:tplc="173236FA">
      <w:start w:val="1"/>
      <w:numFmt w:val="bullet"/>
      <w:lvlText w:val="•"/>
      <w:lvlJc w:val="left"/>
      <w:pPr>
        <w:ind w:left="1234" w:hanging="176"/>
      </w:pPr>
      <w:rPr>
        <w:rFonts w:hint="default"/>
      </w:rPr>
    </w:lvl>
    <w:lvl w:ilvl="2" w:tplc="9032565E">
      <w:start w:val="1"/>
      <w:numFmt w:val="bullet"/>
      <w:lvlText w:val="•"/>
      <w:lvlJc w:val="left"/>
      <w:pPr>
        <w:ind w:left="2184" w:hanging="176"/>
      </w:pPr>
      <w:rPr>
        <w:rFonts w:hint="default"/>
      </w:rPr>
    </w:lvl>
    <w:lvl w:ilvl="3" w:tplc="E968BCA2">
      <w:start w:val="1"/>
      <w:numFmt w:val="bullet"/>
      <w:lvlText w:val="•"/>
      <w:lvlJc w:val="left"/>
      <w:pPr>
        <w:ind w:left="3135" w:hanging="176"/>
      </w:pPr>
      <w:rPr>
        <w:rFonts w:hint="default"/>
      </w:rPr>
    </w:lvl>
    <w:lvl w:ilvl="4" w:tplc="0ED43A98">
      <w:start w:val="1"/>
      <w:numFmt w:val="bullet"/>
      <w:lvlText w:val="•"/>
      <w:lvlJc w:val="left"/>
      <w:pPr>
        <w:ind w:left="4086" w:hanging="176"/>
      </w:pPr>
      <w:rPr>
        <w:rFonts w:hint="default"/>
      </w:rPr>
    </w:lvl>
    <w:lvl w:ilvl="5" w:tplc="3F7868BE">
      <w:start w:val="1"/>
      <w:numFmt w:val="bullet"/>
      <w:lvlText w:val="•"/>
      <w:lvlJc w:val="left"/>
      <w:pPr>
        <w:ind w:left="5036" w:hanging="176"/>
      </w:pPr>
      <w:rPr>
        <w:rFonts w:hint="default"/>
      </w:rPr>
    </w:lvl>
    <w:lvl w:ilvl="6" w:tplc="96CEF42C">
      <w:start w:val="1"/>
      <w:numFmt w:val="bullet"/>
      <w:lvlText w:val="•"/>
      <w:lvlJc w:val="left"/>
      <w:pPr>
        <w:ind w:left="5987" w:hanging="176"/>
      </w:pPr>
      <w:rPr>
        <w:rFonts w:hint="default"/>
      </w:rPr>
    </w:lvl>
    <w:lvl w:ilvl="7" w:tplc="D3167B06">
      <w:start w:val="1"/>
      <w:numFmt w:val="bullet"/>
      <w:lvlText w:val="•"/>
      <w:lvlJc w:val="left"/>
      <w:pPr>
        <w:ind w:left="6938" w:hanging="176"/>
      </w:pPr>
      <w:rPr>
        <w:rFonts w:hint="default"/>
      </w:rPr>
    </w:lvl>
    <w:lvl w:ilvl="8" w:tplc="2FF2CD1A">
      <w:start w:val="1"/>
      <w:numFmt w:val="bullet"/>
      <w:lvlText w:val="•"/>
      <w:lvlJc w:val="left"/>
      <w:pPr>
        <w:ind w:left="7888" w:hanging="176"/>
      </w:pPr>
      <w:rPr>
        <w:rFonts w:hint="default"/>
      </w:rPr>
    </w:lvl>
  </w:abstractNum>
  <w:abstractNum w:abstractNumId="5" w15:restartNumberingAfterBreak="0">
    <w:nsid w:val="1A112938"/>
    <w:multiLevelType w:val="multilevel"/>
    <w:tmpl w:val="0CEADB24"/>
    <w:lvl w:ilvl="0">
      <w:start w:val="6"/>
      <w:numFmt w:val="decimal"/>
      <w:lvlText w:val="%1"/>
      <w:lvlJc w:val="left"/>
      <w:pPr>
        <w:ind w:left="116" w:hanging="387"/>
        <w:jc w:val="left"/>
      </w:pPr>
      <w:rPr>
        <w:rFonts w:hint="default"/>
      </w:rPr>
    </w:lvl>
    <w:lvl w:ilvl="1">
      <w:start w:val="1"/>
      <w:numFmt w:val="decimal"/>
      <w:lvlText w:val="%1.%2"/>
      <w:lvlJc w:val="left"/>
      <w:pPr>
        <w:ind w:left="116" w:hanging="387"/>
        <w:jc w:val="left"/>
      </w:pPr>
      <w:rPr>
        <w:rFonts w:ascii="Calibri" w:eastAsia="Calibri" w:hAnsi="Calibri" w:hint="default"/>
        <w:b/>
        <w:bCs/>
        <w:spacing w:val="-1"/>
        <w:w w:val="99"/>
        <w:sz w:val="24"/>
        <w:szCs w:val="24"/>
      </w:rPr>
    </w:lvl>
    <w:lvl w:ilvl="2">
      <w:start w:val="1"/>
      <w:numFmt w:val="bullet"/>
      <w:lvlText w:val="•"/>
      <w:lvlJc w:val="left"/>
      <w:pPr>
        <w:ind w:left="1987" w:hanging="387"/>
      </w:pPr>
      <w:rPr>
        <w:rFonts w:hint="default"/>
      </w:rPr>
    </w:lvl>
    <w:lvl w:ilvl="3">
      <w:start w:val="1"/>
      <w:numFmt w:val="bullet"/>
      <w:lvlText w:val="•"/>
      <w:lvlJc w:val="left"/>
      <w:pPr>
        <w:ind w:left="2922" w:hanging="387"/>
      </w:pPr>
      <w:rPr>
        <w:rFonts w:hint="default"/>
      </w:rPr>
    </w:lvl>
    <w:lvl w:ilvl="4">
      <w:start w:val="1"/>
      <w:numFmt w:val="bullet"/>
      <w:lvlText w:val="•"/>
      <w:lvlJc w:val="left"/>
      <w:pPr>
        <w:ind w:left="3857" w:hanging="387"/>
      </w:pPr>
      <w:rPr>
        <w:rFonts w:hint="default"/>
      </w:rPr>
    </w:lvl>
    <w:lvl w:ilvl="5">
      <w:start w:val="1"/>
      <w:numFmt w:val="bullet"/>
      <w:lvlText w:val="•"/>
      <w:lvlJc w:val="left"/>
      <w:pPr>
        <w:ind w:left="4793" w:hanging="387"/>
      </w:pPr>
      <w:rPr>
        <w:rFonts w:hint="default"/>
      </w:rPr>
    </w:lvl>
    <w:lvl w:ilvl="6">
      <w:start w:val="1"/>
      <w:numFmt w:val="bullet"/>
      <w:lvlText w:val="•"/>
      <w:lvlJc w:val="left"/>
      <w:pPr>
        <w:ind w:left="5728" w:hanging="387"/>
      </w:pPr>
      <w:rPr>
        <w:rFonts w:hint="default"/>
      </w:rPr>
    </w:lvl>
    <w:lvl w:ilvl="7">
      <w:start w:val="1"/>
      <w:numFmt w:val="bullet"/>
      <w:lvlText w:val="•"/>
      <w:lvlJc w:val="left"/>
      <w:pPr>
        <w:ind w:left="6663" w:hanging="387"/>
      </w:pPr>
      <w:rPr>
        <w:rFonts w:hint="default"/>
      </w:rPr>
    </w:lvl>
    <w:lvl w:ilvl="8">
      <w:start w:val="1"/>
      <w:numFmt w:val="bullet"/>
      <w:lvlText w:val="•"/>
      <w:lvlJc w:val="left"/>
      <w:pPr>
        <w:ind w:left="7599" w:hanging="387"/>
      </w:pPr>
      <w:rPr>
        <w:rFonts w:hint="default"/>
      </w:rPr>
    </w:lvl>
  </w:abstractNum>
  <w:abstractNum w:abstractNumId="6" w15:restartNumberingAfterBreak="0">
    <w:nsid w:val="1A200481"/>
    <w:multiLevelType w:val="multilevel"/>
    <w:tmpl w:val="D71CC49A"/>
    <w:lvl w:ilvl="0">
      <w:start w:val="5"/>
      <w:numFmt w:val="decimal"/>
      <w:lvlText w:val="%1"/>
      <w:lvlJc w:val="left"/>
      <w:pPr>
        <w:ind w:left="256" w:hanging="392"/>
        <w:jc w:val="left"/>
      </w:pPr>
      <w:rPr>
        <w:rFonts w:hint="default"/>
      </w:rPr>
    </w:lvl>
    <w:lvl w:ilvl="1">
      <w:start w:val="1"/>
      <w:numFmt w:val="decimal"/>
      <w:lvlText w:val="%1.%2"/>
      <w:lvlJc w:val="left"/>
      <w:pPr>
        <w:ind w:left="256" w:hanging="392"/>
        <w:jc w:val="left"/>
      </w:pPr>
      <w:rPr>
        <w:rFonts w:ascii="Calibri" w:eastAsia="Calibri" w:hAnsi="Calibri" w:hint="default"/>
        <w:b/>
        <w:bCs/>
        <w:spacing w:val="-1"/>
        <w:w w:val="99"/>
        <w:sz w:val="24"/>
        <w:szCs w:val="24"/>
      </w:rPr>
    </w:lvl>
    <w:lvl w:ilvl="2">
      <w:start w:val="1"/>
      <w:numFmt w:val="bullet"/>
      <w:lvlText w:val="•"/>
      <w:lvlJc w:val="left"/>
      <w:pPr>
        <w:ind w:left="2179" w:hanging="392"/>
      </w:pPr>
      <w:rPr>
        <w:rFonts w:hint="default"/>
      </w:rPr>
    </w:lvl>
    <w:lvl w:ilvl="3">
      <w:start w:val="1"/>
      <w:numFmt w:val="bullet"/>
      <w:lvlText w:val="•"/>
      <w:lvlJc w:val="left"/>
      <w:pPr>
        <w:ind w:left="3140" w:hanging="392"/>
      </w:pPr>
      <w:rPr>
        <w:rFonts w:hint="default"/>
      </w:rPr>
    </w:lvl>
    <w:lvl w:ilvl="4">
      <w:start w:val="1"/>
      <w:numFmt w:val="bullet"/>
      <w:lvlText w:val="•"/>
      <w:lvlJc w:val="left"/>
      <w:pPr>
        <w:ind w:left="4101" w:hanging="392"/>
      </w:pPr>
      <w:rPr>
        <w:rFonts w:hint="default"/>
      </w:rPr>
    </w:lvl>
    <w:lvl w:ilvl="5">
      <w:start w:val="1"/>
      <w:numFmt w:val="bullet"/>
      <w:lvlText w:val="•"/>
      <w:lvlJc w:val="left"/>
      <w:pPr>
        <w:ind w:left="5063" w:hanging="392"/>
      </w:pPr>
      <w:rPr>
        <w:rFonts w:hint="default"/>
      </w:rPr>
    </w:lvl>
    <w:lvl w:ilvl="6">
      <w:start w:val="1"/>
      <w:numFmt w:val="bullet"/>
      <w:lvlText w:val="•"/>
      <w:lvlJc w:val="left"/>
      <w:pPr>
        <w:ind w:left="6024" w:hanging="392"/>
      </w:pPr>
      <w:rPr>
        <w:rFonts w:hint="default"/>
      </w:rPr>
    </w:lvl>
    <w:lvl w:ilvl="7">
      <w:start w:val="1"/>
      <w:numFmt w:val="bullet"/>
      <w:lvlText w:val="•"/>
      <w:lvlJc w:val="left"/>
      <w:pPr>
        <w:ind w:left="6985" w:hanging="392"/>
      </w:pPr>
      <w:rPr>
        <w:rFonts w:hint="default"/>
      </w:rPr>
    </w:lvl>
    <w:lvl w:ilvl="8">
      <w:start w:val="1"/>
      <w:numFmt w:val="bullet"/>
      <w:lvlText w:val="•"/>
      <w:lvlJc w:val="left"/>
      <w:pPr>
        <w:ind w:left="7947" w:hanging="392"/>
      </w:pPr>
      <w:rPr>
        <w:rFonts w:hint="default"/>
      </w:rPr>
    </w:lvl>
  </w:abstractNum>
  <w:abstractNum w:abstractNumId="7" w15:restartNumberingAfterBreak="0">
    <w:nsid w:val="23D025F5"/>
    <w:multiLevelType w:val="hybridMultilevel"/>
    <w:tmpl w:val="9FD8A0C6"/>
    <w:lvl w:ilvl="0" w:tplc="5B369898">
      <w:start w:val="1"/>
      <w:numFmt w:val="decimal"/>
      <w:lvlText w:val="%1."/>
      <w:lvlJc w:val="left"/>
      <w:pPr>
        <w:ind w:left="109" w:hanging="252"/>
        <w:jc w:val="right"/>
      </w:pPr>
      <w:rPr>
        <w:rFonts w:ascii="Calibri" w:eastAsia="Calibri" w:hAnsi="Calibri" w:hint="default"/>
        <w:b/>
        <w:bCs/>
        <w:spacing w:val="-1"/>
        <w:w w:val="99"/>
        <w:sz w:val="24"/>
        <w:szCs w:val="24"/>
      </w:rPr>
    </w:lvl>
    <w:lvl w:ilvl="1" w:tplc="A10EFEE8">
      <w:start w:val="1"/>
      <w:numFmt w:val="bullet"/>
      <w:lvlText w:val="•"/>
      <w:lvlJc w:val="left"/>
      <w:pPr>
        <w:ind w:left="1077" w:hanging="252"/>
      </w:pPr>
      <w:rPr>
        <w:rFonts w:hint="default"/>
      </w:rPr>
    </w:lvl>
    <w:lvl w:ilvl="2" w:tplc="966AD15C">
      <w:start w:val="1"/>
      <w:numFmt w:val="bullet"/>
      <w:lvlText w:val="•"/>
      <w:lvlJc w:val="left"/>
      <w:pPr>
        <w:ind w:left="2045" w:hanging="252"/>
      </w:pPr>
      <w:rPr>
        <w:rFonts w:hint="default"/>
      </w:rPr>
    </w:lvl>
    <w:lvl w:ilvl="3" w:tplc="600ABE5A">
      <w:start w:val="1"/>
      <w:numFmt w:val="bullet"/>
      <w:lvlText w:val="•"/>
      <w:lvlJc w:val="left"/>
      <w:pPr>
        <w:ind w:left="3013" w:hanging="252"/>
      </w:pPr>
      <w:rPr>
        <w:rFonts w:hint="default"/>
      </w:rPr>
    </w:lvl>
    <w:lvl w:ilvl="4" w:tplc="F2E4C626">
      <w:start w:val="1"/>
      <w:numFmt w:val="bullet"/>
      <w:lvlText w:val="•"/>
      <w:lvlJc w:val="left"/>
      <w:pPr>
        <w:ind w:left="3981" w:hanging="252"/>
      </w:pPr>
      <w:rPr>
        <w:rFonts w:hint="default"/>
      </w:rPr>
    </w:lvl>
    <w:lvl w:ilvl="5" w:tplc="59742738">
      <w:start w:val="1"/>
      <w:numFmt w:val="bullet"/>
      <w:lvlText w:val="•"/>
      <w:lvlJc w:val="left"/>
      <w:pPr>
        <w:ind w:left="4949" w:hanging="252"/>
      </w:pPr>
      <w:rPr>
        <w:rFonts w:hint="default"/>
      </w:rPr>
    </w:lvl>
    <w:lvl w:ilvl="6" w:tplc="121E842E">
      <w:start w:val="1"/>
      <w:numFmt w:val="bullet"/>
      <w:lvlText w:val="•"/>
      <w:lvlJc w:val="left"/>
      <w:pPr>
        <w:ind w:left="5917" w:hanging="252"/>
      </w:pPr>
      <w:rPr>
        <w:rFonts w:hint="default"/>
      </w:rPr>
    </w:lvl>
    <w:lvl w:ilvl="7" w:tplc="52FAB1AC">
      <w:start w:val="1"/>
      <w:numFmt w:val="bullet"/>
      <w:lvlText w:val="•"/>
      <w:lvlJc w:val="left"/>
      <w:pPr>
        <w:ind w:left="6885" w:hanging="252"/>
      </w:pPr>
      <w:rPr>
        <w:rFonts w:hint="default"/>
      </w:rPr>
    </w:lvl>
    <w:lvl w:ilvl="8" w:tplc="BB46249C">
      <w:start w:val="1"/>
      <w:numFmt w:val="bullet"/>
      <w:lvlText w:val="•"/>
      <w:lvlJc w:val="left"/>
      <w:pPr>
        <w:ind w:left="7853" w:hanging="252"/>
      </w:pPr>
      <w:rPr>
        <w:rFonts w:hint="default"/>
      </w:rPr>
    </w:lvl>
  </w:abstractNum>
  <w:abstractNum w:abstractNumId="8" w15:restartNumberingAfterBreak="0">
    <w:nsid w:val="283F2222"/>
    <w:multiLevelType w:val="hybridMultilevel"/>
    <w:tmpl w:val="79D67CC0"/>
    <w:lvl w:ilvl="0" w:tplc="4E4ADD68">
      <w:start w:val="21"/>
      <w:numFmt w:val="decimal"/>
      <w:lvlText w:val="%1."/>
      <w:lvlJc w:val="left"/>
      <w:pPr>
        <w:ind w:left="116" w:hanging="387"/>
        <w:jc w:val="left"/>
      </w:pPr>
      <w:rPr>
        <w:rFonts w:ascii="Calibri" w:eastAsia="Calibri" w:hAnsi="Calibri" w:hint="default"/>
        <w:b/>
        <w:bCs/>
        <w:spacing w:val="-1"/>
        <w:sz w:val="24"/>
        <w:szCs w:val="24"/>
      </w:rPr>
    </w:lvl>
    <w:lvl w:ilvl="1" w:tplc="72D82EFE">
      <w:start w:val="1"/>
      <w:numFmt w:val="bullet"/>
      <w:lvlText w:val="•"/>
      <w:lvlJc w:val="left"/>
      <w:pPr>
        <w:ind w:left="864" w:hanging="360"/>
      </w:pPr>
      <w:rPr>
        <w:rFonts w:ascii="Arial" w:eastAsia="Arial" w:hAnsi="Arial" w:hint="default"/>
        <w:sz w:val="24"/>
        <w:szCs w:val="24"/>
      </w:rPr>
    </w:lvl>
    <w:lvl w:ilvl="2" w:tplc="0DE2E060">
      <w:start w:val="1"/>
      <w:numFmt w:val="bullet"/>
      <w:lvlText w:val="•"/>
      <w:lvlJc w:val="left"/>
      <w:pPr>
        <w:ind w:left="1855" w:hanging="360"/>
      </w:pPr>
      <w:rPr>
        <w:rFonts w:hint="default"/>
      </w:rPr>
    </w:lvl>
    <w:lvl w:ilvl="3" w:tplc="73CCC950">
      <w:start w:val="1"/>
      <w:numFmt w:val="bullet"/>
      <w:lvlText w:val="•"/>
      <w:lvlJc w:val="left"/>
      <w:pPr>
        <w:ind w:left="2847" w:hanging="360"/>
      </w:pPr>
      <w:rPr>
        <w:rFonts w:hint="default"/>
      </w:rPr>
    </w:lvl>
    <w:lvl w:ilvl="4" w:tplc="8968BBB0">
      <w:start w:val="1"/>
      <w:numFmt w:val="bullet"/>
      <w:lvlText w:val="•"/>
      <w:lvlJc w:val="left"/>
      <w:pPr>
        <w:ind w:left="3839" w:hanging="360"/>
      </w:pPr>
      <w:rPr>
        <w:rFonts w:hint="default"/>
      </w:rPr>
    </w:lvl>
    <w:lvl w:ilvl="5" w:tplc="03960406">
      <w:start w:val="1"/>
      <w:numFmt w:val="bullet"/>
      <w:lvlText w:val="•"/>
      <w:lvlJc w:val="left"/>
      <w:pPr>
        <w:ind w:left="4831" w:hanging="360"/>
      </w:pPr>
      <w:rPr>
        <w:rFonts w:hint="default"/>
      </w:rPr>
    </w:lvl>
    <w:lvl w:ilvl="6" w:tplc="D9A4E2DC">
      <w:start w:val="1"/>
      <w:numFmt w:val="bullet"/>
      <w:lvlText w:val="•"/>
      <w:lvlJc w:val="left"/>
      <w:pPr>
        <w:ind w:left="5822" w:hanging="360"/>
      </w:pPr>
      <w:rPr>
        <w:rFonts w:hint="default"/>
      </w:rPr>
    </w:lvl>
    <w:lvl w:ilvl="7" w:tplc="A3EAEFAC">
      <w:start w:val="1"/>
      <w:numFmt w:val="bullet"/>
      <w:lvlText w:val="•"/>
      <w:lvlJc w:val="left"/>
      <w:pPr>
        <w:ind w:left="6814" w:hanging="360"/>
      </w:pPr>
      <w:rPr>
        <w:rFonts w:hint="default"/>
      </w:rPr>
    </w:lvl>
    <w:lvl w:ilvl="8" w:tplc="3B1AE0F2">
      <w:start w:val="1"/>
      <w:numFmt w:val="bullet"/>
      <w:lvlText w:val="•"/>
      <w:lvlJc w:val="left"/>
      <w:pPr>
        <w:ind w:left="7806" w:hanging="360"/>
      </w:pPr>
      <w:rPr>
        <w:rFonts w:hint="default"/>
      </w:rPr>
    </w:lvl>
  </w:abstractNum>
  <w:abstractNum w:abstractNumId="9" w15:restartNumberingAfterBreak="0">
    <w:nsid w:val="2DAA7EB8"/>
    <w:multiLevelType w:val="hybridMultilevel"/>
    <w:tmpl w:val="3B7A156E"/>
    <w:lvl w:ilvl="0" w:tplc="8130917E">
      <w:start w:val="1"/>
      <w:numFmt w:val="bullet"/>
      <w:lvlText w:val="-"/>
      <w:lvlJc w:val="left"/>
      <w:pPr>
        <w:ind w:left="103" w:hanging="604"/>
      </w:pPr>
      <w:rPr>
        <w:rFonts w:ascii="Calibri" w:eastAsia="Calibri" w:hAnsi="Calibri" w:hint="default"/>
        <w:w w:val="99"/>
        <w:sz w:val="16"/>
        <w:szCs w:val="16"/>
      </w:rPr>
    </w:lvl>
    <w:lvl w:ilvl="1" w:tplc="3670E9D4">
      <w:start w:val="1"/>
      <w:numFmt w:val="bullet"/>
      <w:lvlText w:val="•"/>
      <w:lvlJc w:val="left"/>
      <w:pPr>
        <w:ind w:left="871" w:hanging="604"/>
      </w:pPr>
      <w:rPr>
        <w:rFonts w:hint="default"/>
      </w:rPr>
    </w:lvl>
    <w:lvl w:ilvl="2" w:tplc="0E58BCC4">
      <w:start w:val="1"/>
      <w:numFmt w:val="bullet"/>
      <w:lvlText w:val="•"/>
      <w:lvlJc w:val="left"/>
      <w:pPr>
        <w:ind w:left="1638" w:hanging="604"/>
      </w:pPr>
      <w:rPr>
        <w:rFonts w:hint="default"/>
      </w:rPr>
    </w:lvl>
    <w:lvl w:ilvl="3" w:tplc="51A8FF8E">
      <w:start w:val="1"/>
      <w:numFmt w:val="bullet"/>
      <w:lvlText w:val="•"/>
      <w:lvlJc w:val="left"/>
      <w:pPr>
        <w:ind w:left="2406" w:hanging="604"/>
      </w:pPr>
      <w:rPr>
        <w:rFonts w:hint="default"/>
      </w:rPr>
    </w:lvl>
    <w:lvl w:ilvl="4" w:tplc="778E0E64">
      <w:start w:val="1"/>
      <w:numFmt w:val="bullet"/>
      <w:lvlText w:val="•"/>
      <w:lvlJc w:val="left"/>
      <w:pPr>
        <w:ind w:left="3174" w:hanging="604"/>
      </w:pPr>
      <w:rPr>
        <w:rFonts w:hint="default"/>
      </w:rPr>
    </w:lvl>
    <w:lvl w:ilvl="5" w:tplc="59268ED8">
      <w:start w:val="1"/>
      <w:numFmt w:val="bullet"/>
      <w:lvlText w:val="•"/>
      <w:lvlJc w:val="left"/>
      <w:pPr>
        <w:ind w:left="3941" w:hanging="604"/>
      </w:pPr>
      <w:rPr>
        <w:rFonts w:hint="default"/>
      </w:rPr>
    </w:lvl>
    <w:lvl w:ilvl="6" w:tplc="653AD5E0">
      <w:start w:val="1"/>
      <w:numFmt w:val="bullet"/>
      <w:lvlText w:val="•"/>
      <w:lvlJc w:val="left"/>
      <w:pPr>
        <w:ind w:left="4709" w:hanging="604"/>
      </w:pPr>
      <w:rPr>
        <w:rFonts w:hint="default"/>
      </w:rPr>
    </w:lvl>
    <w:lvl w:ilvl="7" w:tplc="B4A0E4B4">
      <w:start w:val="1"/>
      <w:numFmt w:val="bullet"/>
      <w:lvlText w:val="•"/>
      <w:lvlJc w:val="left"/>
      <w:pPr>
        <w:ind w:left="5477" w:hanging="604"/>
      </w:pPr>
      <w:rPr>
        <w:rFonts w:hint="default"/>
      </w:rPr>
    </w:lvl>
    <w:lvl w:ilvl="8" w:tplc="6712984C">
      <w:start w:val="1"/>
      <w:numFmt w:val="bullet"/>
      <w:lvlText w:val="•"/>
      <w:lvlJc w:val="left"/>
      <w:pPr>
        <w:ind w:left="6244" w:hanging="604"/>
      </w:pPr>
      <w:rPr>
        <w:rFonts w:hint="default"/>
      </w:rPr>
    </w:lvl>
  </w:abstractNum>
  <w:abstractNum w:abstractNumId="10" w15:restartNumberingAfterBreak="0">
    <w:nsid w:val="33131EF8"/>
    <w:multiLevelType w:val="hybridMultilevel"/>
    <w:tmpl w:val="8CA4D2D0"/>
    <w:lvl w:ilvl="0" w:tplc="ECB80752">
      <w:start w:val="1"/>
      <w:numFmt w:val="bullet"/>
      <w:lvlText w:val="•"/>
      <w:lvlJc w:val="left"/>
      <w:pPr>
        <w:ind w:left="468" w:hanging="360"/>
      </w:pPr>
      <w:rPr>
        <w:rFonts w:ascii="Arial" w:eastAsia="Arial" w:hAnsi="Arial" w:hint="default"/>
        <w:sz w:val="24"/>
        <w:szCs w:val="24"/>
      </w:rPr>
    </w:lvl>
    <w:lvl w:ilvl="1" w:tplc="10085C7A">
      <w:start w:val="1"/>
      <w:numFmt w:val="bullet"/>
      <w:lvlText w:val="•"/>
      <w:lvlJc w:val="left"/>
      <w:pPr>
        <w:ind w:left="1400" w:hanging="360"/>
      </w:pPr>
      <w:rPr>
        <w:rFonts w:hint="default"/>
      </w:rPr>
    </w:lvl>
    <w:lvl w:ilvl="2" w:tplc="1938E290">
      <w:start w:val="1"/>
      <w:numFmt w:val="bullet"/>
      <w:lvlText w:val="•"/>
      <w:lvlJc w:val="left"/>
      <w:pPr>
        <w:ind w:left="2332" w:hanging="360"/>
      </w:pPr>
      <w:rPr>
        <w:rFonts w:hint="default"/>
      </w:rPr>
    </w:lvl>
    <w:lvl w:ilvl="3" w:tplc="3134F9F2">
      <w:start w:val="1"/>
      <w:numFmt w:val="bullet"/>
      <w:lvlText w:val="•"/>
      <w:lvlJc w:val="left"/>
      <w:pPr>
        <w:ind w:left="3264" w:hanging="360"/>
      </w:pPr>
      <w:rPr>
        <w:rFonts w:hint="default"/>
      </w:rPr>
    </w:lvl>
    <w:lvl w:ilvl="4" w:tplc="7A5C7A12">
      <w:start w:val="1"/>
      <w:numFmt w:val="bullet"/>
      <w:lvlText w:val="•"/>
      <w:lvlJc w:val="left"/>
      <w:pPr>
        <w:ind w:left="4197" w:hanging="360"/>
      </w:pPr>
      <w:rPr>
        <w:rFonts w:hint="default"/>
      </w:rPr>
    </w:lvl>
    <w:lvl w:ilvl="5" w:tplc="85580510">
      <w:start w:val="1"/>
      <w:numFmt w:val="bullet"/>
      <w:lvlText w:val="•"/>
      <w:lvlJc w:val="left"/>
      <w:pPr>
        <w:ind w:left="5129" w:hanging="360"/>
      </w:pPr>
      <w:rPr>
        <w:rFonts w:hint="default"/>
      </w:rPr>
    </w:lvl>
    <w:lvl w:ilvl="6" w:tplc="9482B75E">
      <w:start w:val="1"/>
      <w:numFmt w:val="bullet"/>
      <w:lvlText w:val="•"/>
      <w:lvlJc w:val="left"/>
      <w:pPr>
        <w:ind w:left="6061" w:hanging="360"/>
      </w:pPr>
      <w:rPr>
        <w:rFonts w:hint="default"/>
      </w:rPr>
    </w:lvl>
    <w:lvl w:ilvl="7" w:tplc="20163E2A">
      <w:start w:val="1"/>
      <w:numFmt w:val="bullet"/>
      <w:lvlText w:val="•"/>
      <w:lvlJc w:val="left"/>
      <w:pPr>
        <w:ind w:left="6993" w:hanging="360"/>
      </w:pPr>
      <w:rPr>
        <w:rFonts w:hint="default"/>
      </w:rPr>
    </w:lvl>
    <w:lvl w:ilvl="8" w:tplc="29029FCE">
      <w:start w:val="1"/>
      <w:numFmt w:val="bullet"/>
      <w:lvlText w:val="•"/>
      <w:lvlJc w:val="left"/>
      <w:pPr>
        <w:ind w:left="7925" w:hanging="360"/>
      </w:pPr>
      <w:rPr>
        <w:rFonts w:hint="default"/>
      </w:rPr>
    </w:lvl>
  </w:abstractNum>
  <w:abstractNum w:abstractNumId="11" w15:restartNumberingAfterBreak="0">
    <w:nsid w:val="360F1A81"/>
    <w:multiLevelType w:val="multilevel"/>
    <w:tmpl w:val="DABC1F1E"/>
    <w:lvl w:ilvl="0">
      <w:start w:val="7"/>
      <w:numFmt w:val="decimal"/>
      <w:lvlText w:val="%1"/>
      <w:lvlJc w:val="left"/>
      <w:pPr>
        <w:ind w:left="116" w:hanging="408"/>
        <w:jc w:val="left"/>
      </w:pPr>
      <w:rPr>
        <w:rFonts w:hint="default"/>
      </w:rPr>
    </w:lvl>
    <w:lvl w:ilvl="1">
      <w:start w:val="1"/>
      <w:numFmt w:val="decimal"/>
      <w:lvlText w:val="%1.%2"/>
      <w:lvlJc w:val="left"/>
      <w:pPr>
        <w:ind w:left="116" w:hanging="408"/>
        <w:jc w:val="left"/>
      </w:pPr>
      <w:rPr>
        <w:rFonts w:ascii="Calibri" w:eastAsia="Calibri" w:hAnsi="Calibri" w:hint="default"/>
        <w:b/>
        <w:bCs/>
        <w:spacing w:val="-1"/>
        <w:w w:val="99"/>
        <w:sz w:val="24"/>
        <w:szCs w:val="24"/>
      </w:rPr>
    </w:lvl>
    <w:lvl w:ilvl="2">
      <w:start w:val="1"/>
      <w:numFmt w:val="decimal"/>
      <w:lvlText w:val="%3."/>
      <w:lvlJc w:val="left"/>
      <w:pPr>
        <w:ind w:left="819" w:hanging="360"/>
        <w:jc w:val="left"/>
      </w:pPr>
      <w:rPr>
        <w:rFonts w:ascii="Calibri" w:eastAsia="Calibri" w:hAnsi="Calibri" w:hint="default"/>
        <w:spacing w:val="-1"/>
        <w:sz w:val="24"/>
        <w:szCs w:val="24"/>
      </w:rPr>
    </w:lvl>
    <w:lvl w:ilvl="3">
      <w:start w:val="1"/>
      <w:numFmt w:val="bullet"/>
      <w:lvlText w:val="•"/>
      <w:lvlJc w:val="left"/>
      <w:pPr>
        <w:ind w:left="2732" w:hanging="360"/>
      </w:pPr>
      <w:rPr>
        <w:rFonts w:hint="default"/>
      </w:rPr>
    </w:lvl>
    <w:lvl w:ilvl="4">
      <w:start w:val="1"/>
      <w:numFmt w:val="bullet"/>
      <w:lvlText w:val="•"/>
      <w:lvlJc w:val="left"/>
      <w:pPr>
        <w:ind w:left="3689" w:hanging="360"/>
      </w:pPr>
      <w:rPr>
        <w:rFonts w:hint="default"/>
      </w:rPr>
    </w:lvl>
    <w:lvl w:ilvl="5">
      <w:start w:val="1"/>
      <w:numFmt w:val="bullet"/>
      <w:lvlText w:val="•"/>
      <w:lvlJc w:val="left"/>
      <w:pPr>
        <w:ind w:left="4646" w:hanging="360"/>
      </w:pPr>
      <w:rPr>
        <w:rFonts w:hint="default"/>
      </w:rPr>
    </w:lvl>
    <w:lvl w:ilvl="6">
      <w:start w:val="1"/>
      <w:numFmt w:val="bullet"/>
      <w:lvlText w:val="•"/>
      <w:lvlJc w:val="left"/>
      <w:pPr>
        <w:ind w:left="5602" w:hanging="360"/>
      </w:pPr>
      <w:rPr>
        <w:rFonts w:hint="default"/>
      </w:rPr>
    </w:lvl>
    <w:lvl w:ilvl="7">
      <w:start w:val="1"/>
      <w:numFmt w:val="bullet"/>
      <w:lvlText w:val="•"/>
      <w:lvlJc w:val="left"/>
      <w:pPr>
        <w:ind w:left="6559" w:hanging="360"/>
      </w:pPr>
      <w:rPr>
        <w:rFonts w:hint="default"/>
      </w:rPr>
    </w:lvl>
    <w:lvl w:ilvl="8">
      <w:start w:val="1"/>
      <w:numFmt w:val="bullet"/>
      <w:lvlText w:val="•"/>
      <w:lvlJc w:val="left"/>
      <w:pPr>
        <w:ind w:left="7516" w:hanging="360"/>
      </w:pPr>
      <w:rPr>
        <w:rFonts w:hint="default"/>
      </w:rPr>
    </w:lvl>
  </w:abstractNum>
  <w:abstractNum w:abstractNumId="12" w15:restartNumberingAfterBreak="0">
    <w:nsid w:val="419B2A94"/>
    <w:multiLevelType w:val="hybridMultilevel"/>
    <w:tmpl w:val="388476EE"/>
    <w:lvl w:ilvl="0" w:tplc="E9120408">
      <w:start w:val="1"/>
      <w:numFmt w:val="bullet"/>
      <w:lvlText w:val="-"/>
      <w:lvlJc w:val="left"/>
      <w:pPr>
        <w:ind w:left="101" w:hanging="608"/>
      </w:pPr>
      <w:rPr>
        <w:rFonts w:ascii="Calibri" w:eastAsia="Calibri" w:hAnsi="Calibri" w:hint="default"/>
        <w:w w:val="99"/>
        <w:sz w:val="16"/>
        <w:szCs w:val="16"/>
      </w:rPr>
    </w:lvl>
    <w:lvl w:ilvl="1" w:tplc="1B140CBC">
      <w:start w:val="1"/>
      <w:numFmt w:val="bullet"/>
      <w:lvlText w:val="•"/>
      <w:lvlJc w:val="left"/>
      <w:pPr>
        <w:ind w:left="868" w:hanging="608"/>
      </w:pPr>
      <w:rPr>
        <w:rFonts w:hint="default"/>
      </w:rPr>
    </w:lvl>
    <w:lvl w:ilvl="2" w:tplc="02D05506">
      <w:start w:val="1"/>
      <w:numFmt w:val="bullet"/>
      <w:lvlText w:val="•"/>
      <w:lvlJc w:val="left"/>
      <w:pPr>
        <w:ind w:left="1636" w:hanging="608"/>
      </w:pPr>
      <w:rPr>
        <w:rFonts w:hint="default"/>
      </w:rPr>
    </w:lvl>
    <w:lvl w:ilvl="3" w:tplc="2FA63A74">
      <w:start w:val="1"/>
      <w:numFmt w:val="bullet"/>
      <w:lvlText w:val="•"/>
      <w:lvlJc w:val="left"/>
      <w:pPr>
        <w:ind w:left="2403" w:hanging="608"/>
      </w:pPr>
      <w:rPr>
        <w:rFonts w:hint="default"/>
      </w:rPr>
    </w:lvl>
    <w:lvl w:ilvl="4" w:tplc="C980AAD6">
      <w:start w:val="1"/>
      <w:numFmt w:val="bullet"/>
      <w:lvlText w:val="•"/>
      <w:lvlJc w:val="left"/>
      <w:pPr>
        <w:ind w:left="3171" w:hanging="608"/>
      </w:pPr>
      <w:rPr>
        <w:rFonts w:hint="default"/>
      </w:rPr>
    </w:lvl>
    <w:lvl w:ilvl="5" w:tplc="4D04E3AC">
      <w:start w:val="1"/>
      <w:numFmt w:val="bullet"/>
      <w:lvlText w:val="•"/>
      <w:lvlJc w:val="left"/>
      <w:pPr>
        <w:ind w:left="3938" w:hanging="608"/>
      </w:pPr>
      <w:rPr>
        <w:rFonts w:hint="default"/>
      </w:rPr>
    </w:lvl>
    <w:lvl w:ilvl="6" w:tplc="C1D6BED0">
      <w:start w:val="1"/>
      <w:numFmt w:val="bullet"/>
      <w:lvlText w:val="•"/>
      <w:lvlJc w:val="left"/>
      <w:pPr>
        <w:ind w:left="4706" w:hanging="608"/>
      </w:pPr>
      <w:rPr>
        <w:rFonts w:hint="default"/>
      </w:rPr>
    </w:lvl>
    <w:lvl w:ilvl="7" w:tplc="AC4ED604">
      <w:start w:val="1"/>
      <w:numFmt w:val="bullet"/>
      <w:lvlText w:val="•"/>
      <w:lvlJc w:val="left"/>
      <w:pPr>
        <w:ind w:left="5473" w:hanging="608"/>
      </w:pPr>
      <w:rPr>
        <w:rFonts w:hint="default"/>
      </w:rPr>
    </w:lvl>
    <w:lvl w:ilvl="8" w:tplc="DD906E92">
      <w:start w:val="1"/>
      <w:numFmt w:val="bullet"/>
      <w:lvlText w:val="•"/>
      <w:lvlJc w:val="left"/>
      <w:pPr>
        <w:ind w:left="6241" w:hanging="608"/>
      </w:pPr>
      <w:rPr>
        <w:rFonts w:hint="default"/>
      </w:rPr>
    </w:lvl>
  </w:abstractNum>
  <w:abstractNum w:abstractNumId="13" w15:restartNumberingAfterBreak="0">
    <w:nsid w:val="4D337069"/>
    <w:multiLevelType w:val="multilevel"/>
    <w:tmpl w:val="5AD4D2E0"/>
    <w:lvl w:ilvl="0">
      <w:start w:val="3"/>
      <w:numFmt w:val="decimal"/>
      <w:lvlText w:val="%1"/>
      <w:lvlJc w:val="left"/>
      <w:pPr>
        <w:ind w:left="116" w:hanging="443"/>
        <w:jc w:val="left"/>
      </w:pPr>
      <w:rPr>
        <w:rFonts w:hint="default"/>
      </w:rPr>
    </w:lvl>
    <w:lvl w:ilvl="1">
      <w:start w:val="1"/>
      <w:numFmt w:val="decimal"/>
      <w:lvlText w:val="%1.%2"/>
      <w:lvlJc w:val="left"/>
      <w:pPr>
        <w:ind w:left="116" w:hanging="443"/>
        <w:jc w:val="left"/>
      </w:pPr>
      <w:rPr>
        <w:rFonts w:ascii="Calibri" w:eastAsia="Calibri" w:hAnsi="Calibri" w:hint="default"/>
        <w:b/>
        <w:bCs/>
        <w:spacing w:val="-1"/>
        <w:w w:val="99"/>
        <w:sz w:val="24"/>
        <w:szCs w:val="24"/>
      </w:rPr>
    </w:lvl>
    <w:lvl w:ilvl="2">
      <w:start w:val="1"/>
      <w:numFmt w:val="bullet"/>
      <w:lvlText w:val="•"/>
      <w:lvlJc w:val="left"/>
      <w:pPr>
        <w:ind w:left="804" w:hanging="360"/>
      </w:pPr>
      <w:rPr>
        <w:rFonts w:ascii="Arial" w:eastAsia="Arial" w:hAnsi="Arial" w:hint="default"/>
        <w:sz w:val="24"/>
        <w:szCs w:val="24"/>
      </w:rPr>
    </w:lvl>
    <w:lvl w:ilvl="3">
      <w:start w:val="1"/>
      <w:numFmt w:val="bullet"/>
      <w:lvlText w:val="•"/>
      <w:lvlJc w:val="left"/>
      <w:pPr>
        <w:ind w:left="2823" w:hanging="360"/>
      </w:pPr>
      <w:rPr>
        <w:rFonts w:hint="default"/>
      </w:rPr>
    </w:lvl>
    <w:lvl w:ilvl="4">
      <w:start w:val="1"/>
      <w:numFmt w:val="bullet"/>
      <w:lvlText w:val="•"/>
      <w:lvlJc w:val="left"/>
      <w:pPr>
        <w:ind w:left="3832" w:hanging="360"/>
      </w:pPr>
      <w:rPr>
        <w:rFonts w:hint="default"/>
      </w:rPr>
    </w:lvl>
    <w:lvl w:ilvl="5">
      <w:start w:val="1"/>
      <w:numFmt w:val="bullet"/>
      <w:lvlText w:val="•"/>
      <w:lvlJc w:val="left"/>
      <w:pPr>
        <w:ind w:left="4842" w:hanging="360"/>
      </w:pPr>
      <w:rPr>
        <w:rFonts w:hint="default"/>
      </w:rPr>
    </w:lvl>
    <w:lvl w:ilvl="6">
      <w:start w:val="1"/>
      <w:numFmt w:val="bullet"/>
      <w:lvlText w:val="•"/>
      <w:lvlJc w:val="left"/>
      <w:pPr>
        <w:ind w:left="5851" w:hanging="360"/>
      </w:pPr>
      <w:rPr>
        <w:rFonts w:hint="default"/>
      </w:rPr>
    </w:lvl>
    <w:lvl w:ilvl="7">
      <w:start w:val="1"/>
      <w:numFmt w:val="bullet"/>
      <w:lvlText w:val="•"/>
      <w:lvlJc w:val="left"/>
      <w:pPr>
        <w:ind w:left="6861" w:hanging="360"/>
      </w:pPr>
      <w:rPr>
        <w:rFonts w:hint="default"/>
      </w:rPr>
    </w:lvl>
    <w:lvl w:ilvl="8">
      <w:start w:val="1"/>
      <w:numFmt w:val="bullet"/>
      <w:lvlText w:val="•"/>
      <w:lvlJc w:val="left"/>
      <w:pPr>
        <w:ind w:left="7870" w:hanging="360"/>
      </w:pPr>
      <w:rPr>
        <w:rFonts w:hint="default"/>
      </w:rPr>
    </w:lvl>
  </w:abstractNum>
  <w:abstractNum w:abstractNumId="14" w15:restartNumberingAfterBreak="0">
    <w:nsid w:val="4E8E6FDD"/>
    <w:multiLevelType w:val="hybridMultilevel"/>
    <w:tmpl w:val="6150B1E6"/>
    <w:lvl w:ilvl="0" w:tplc="6A4A219C">
      <w:start w:val="1"/>
      <w:numFmt w:val="bullet"/>
      <w:lvlText w:val="•"/>
      <w:lvlJc w:val="left"/>
      <w:pPr>
        <w:ind w:left="128" w:hanging="389"/>
      </w:pPr>
      <w:rPr>
        <w:rFonts w:ascii="Calibri" w:eastAsia="Calibri" w:hAnsi="Calibri" w:hint="default"/>
        <w:i/>
        <w:sz w:val="24"/>
        <w:szCs w:val="24"/>
      </w:rPr>
    </w:lvl>
    <w:lvl w:ilvl="1" w:tplc="9DE62A62">
      <w:start w:val="1"/>
      <w:numFmt w:val="bullet"/>
      <w:lvlText w:val="•"/>
      <w:lvlJc w:val="left"/>
      <w:pPr>
        <w:ind w:left="1076" w:hanging="389"/>
      </w:pPr>
      <w:rPr>
        <w:rFonts w:hint="default"/>
      </w:rPr>
    </w:lvl>
    <w:lvl w:ilvl="2" w:tplc="740091F0">
      <w:start w:val="1"/>
      <w:numFmt w:val="bullet"/>
      <w:lvlText w:val="•"/>
      <w:lvlJc w:val="left"/>
      <w:pPr>
        <w:ind w:left="2025" w:hanging="389"/>
      </w:pPr>
      <w:rPr>
        <w:rFonts w:hint="default"/>
      </w:rPr>
    </w:lvl>
    <w:lvl w:ilvl="3" w:tplc="20364236">
      <w:start w:val="1"/>
      <w:numFmt w:val="bullet"/>
      <w:lvlText w:val="•"/>
      <w:lvlJc w:val="left"/>
      <w:pPr>
        <w:ind w:left="2973" w:hanging="389"/>
      </w:pPr>
      <w:rPr>
        <w:rFonts w:hint="default"/>
      </w:rPr>
    </w:lvl>
    <w:lvl w:ilvl="4" w:tplc="68A27D30">
      <w:start w:val="1"/>
      <w:numFmt w:val="bullet"/>
      <w:lvlText w:val="•"/>
      <w:lvlJc w:val="left"/>
      <w:pPr>
        <w:ind w:left="3921" w:hanging="389"/>
      </w:pPr>
      <w:rPr>
        <w:rFonts w:hint="default"/>
      </w:rPr>
    </w:lvl>
    <w:lvl w:ilvl="5" w:tplc="12188C82">
      <w:start w:val="1"/>
      <w:numFmt w:val="bullet"/>
      <w:lvlText w:val="•"/>
      <w:lvlJc w:val="left"/>
      <w:pPr>
        <w:ind w:left="4869" w:hanging="389"/>
      </w:pPr>
      <w:rPr>
        <w:rFonts w:hint="default"/>
      </w:rPr>
    </w:lvl>
    <w:lvl w:ilvl="6" w:tplc="0046F420">
      <w:start w:val="1"/>
      <w:numFmt w:val="bullet"/>
      <w:lvlText w:val="•"/>
      <w:lvlJc w:val="left"/>
      <w:pPr>
        <w:ind w:left="5817" w:hanging="389"/>
      </w:pPr>
      <w:rPr>
        <w:rFonts w:hint="default"/>
      </w:rPr>
    </w:lvl>
    <w:lvl w:ilvl="7" w:tplc="02FCEC14">
      <w:start w:val="1"/>
      <w:numFmt w:val="bullet"/>
      <w:lvlText w:val="•"/>
      <w:lvlJc w:val="left"/>
      <w:pPr>
        <w:ind w:left="6765" w:hanging="389"/>
      </w:pPr>
      <w:rPr>
        <w:rFonts w:hint="default"/>
      </w:rPr>
    </w:lvl>
    <w:lvl w:ilvl="8" w:tplc="69B23154">
      <w:start w:val="1"/>
      <w:numFmt w:val="bullet"/>
      <w:lvlText w:val="•"/>
      <w:lvlJc w:val="left"/>
      <w:pPr>
        <w:ind w:left="7713" w:hanging="389"/>
      </w:pPr>
      <w:rPr>
        <w:rFonts w:hint="default"/>
      </w:rPr>
    </w:lvl>
  </w:abstractNum>
  <w:abstractNum w:abstractNumId="15" w15:restartNumberingAfterBreak="0">
    <w:nsid w:val="75C6008C"/>
    <w:multiLevelType w:val="hybridMultilevel"/>
    <w:tmpl w:val="39A02B60"/>
    <w:lvl w:ilvl="0" w:tplc="5A9465D6">
      <w:start w:val="1"/>
      <w:numFmt w:val="bullet"/>
      <w:lvlText w:val="–"/>
      <w:lvlJc w:val="left"/>
      <w:pPr>
        <w:ind w:left="116" w:hanging="579"/>
      </w:pPr>
      <w:rPr>
        <w:rFonts w:ascii="Calibri" w:eastAsia="Calibri" w:hAnsi="Calibri" w:hint="default"/>
        <w:i/>
        <w:sz w:val="24"/>
        <w:szCs w:val="24"/>
      </w:rPr>
    </w:lvl>
    <w:lvl w:ilvl="1" w:tplc="2E04C428">
      <w:start w:val="1"/>
      <w:numFmt w:val="bullet"/>
      <w:lvlText w:val="•"/>
      <w:lvlJc w:val="left"/>
      <w:pPr>
        <w:ind w:left="1084" w:hanging="579"/>
      </w:pPr>
      <w:rPr>
        <w:rFonts w:hint="default"/>
      </w:rPr>
    </w:lvl>
    <w:lvl w:ilvl="2" w:tplc="E6AAA2B6">
      <w:start w:val="1"/>
      <w:numFmt w:val="bullet"/>
      <w:lvlText w:val="•"/>
      <w:lvlJc w:val="left"/>
      <w:pPr>
        <w:ind w:left="2051" w:hanging="579"/>
      </w:pPr>
      <w:rPr>
        <w:rFonts w:hint="default"/>
      </w:rPr>
    </w:lvl>
    <w:lvl w:ilvl="3" w:tplc="C1A42F6E">
      <w:start w:val="1"/>
      <w:numFmt w:val="bullet"/>
      <w:lvlText w:val="•"/>
      <w:lvlJc w:val="left"/>
      <w:pPr>
        <w:ind w:left="3018" w:hanging="579"/>
      </w:pPr>
      <w:rPr>
        <w:rFonts w:hint="default"/>
      </w:rPr>
    </w:lvl>
    <w:lvl w:ilvl="4" w:tplc="14E615FC">
      <w:start w:val="1"/>
      <w:numFmt w:val="bullet"/>
      <w:lvlText w:val="•"/>
      <w:lvlJc w:val="left"/>
      <w:pPr>
        <w:ind w:left="3986" w:hanging="579"/>
      </w:pPr>
      <w:rPr>
        <w:rFonts w:hint="default"/>
      </w:rPr>
    </w:lvl>
    <w:lvl w:ilvl="5" w:tplc="A246FBD8">
      <w:start w:val="1"/>
      <w:numFmt w:val="bullet"/>
      <w:lvlText w:val="•"/>
      <w:lvlJc w:val="left"/>
      <w:pPr>
        <w:ind w:left="4953" w:hanging="579"/>
      </w:pPr>
      <w:rPr>
        <w:rFonts w:hint="default"/>
      </w:rPr>
    </w:lvl>
    <w:lvl w:ilvl="6" w:tplc="3B3CC8A4">
      <w:start w:val="1"/>
      <w:numFmt w:val="bullet"/>
      <w:lvlText w:val="•"/>
      <w:lvlJc w:val="left"/>
      <w:pPr>
        <w:ind w:left="5920" w:hanging="579"/>
      </w:pPr>
      <w:rPr>
        <w:rFonts w:hint="default"/>
      </w:rPr>
    </w:lvl>
    <w:lvl w:ilvl="7" w:tplc="E070B23E">
      <w:start w:val="1"/>
      <w:numFmt w:val="bullet"/>
      <w:lvlText w:val="•"/>
      <w:lvlJc w:val="left"/>
      <w:pPr>
        <w:ind w:left="6888" w:hanging="579"/>
      </w:pPr>
      <w:rPr>
        <w:rFonts w:hint="default"/>
      </w:rPr>
    </w:lvl>
    <w:lvl w:ilvl="8" w:tplc="84C06336">
      <w:start w:val="1"/>
      <w:numFmt w:val="bullet"/>
      <w:lvlText w:val="•"/>
      <w:lvlJc w:val="left"/>
      <w:pPr>
        <w:ind w:left="7855" w:hanging="579"/>
      </w:pPr>
      <w:rPr>
        <w:rFonts w:hint="default"/>
      </w:rPr>
    </w:lvl>
  </w:abstractNum>
  <w:abstractNum w:abstractNumId="16" w15:restartNumberingAfterBreak="0">
    <w:nsid w:val="7DEB7C9D"/>
    <w:multiLevelType w:val="hybridMultilevel"/>
    <w:tmpl w:val="DC565948"/>
    <w:lvl w:ilvl="0" w:tplc="907669B8">
      <w:start w:val="1"/>
      <w:numFmt w:val="bullet"/>
      <w:lvlText w:val="•"/>
      <w:lvlJc w:val="left"/>
      <w:pPr>
        <w:ind w:left="679" w:hanging="176"/>
      </w:pPr>
      <w:rPr>
        <w:rFonts w:ascii="Calibri" w:eastAsia="Calibri" w:hAnsi="Calibri" w:hint="default"/>
        <w:i/>
        <w:sz w:val="24"/>
        <w:szCs w:val="24"/>
      </w:rPr>
    </w:lvl>
    <w:lvl w:ilvl="1" w:tplc="2DE64A12">
      <w:start w:val="1"/>
      <w:numFmt w:val="bullet"/>
      <w:lvlText w:val="•"/>
      <w:lvlJc w:val="left"/>
      <w:pPr>
        <w:ind w:left="1592" w:hanging="176"/>
      </w:pPr>
      <w:rPr>
        <w:rFonts w:hint="default"/>
      </w:rPr>
    </w:lvl>
    <w:lvl w:ilvl="2" w:tplc="0BBEF3E8">
      <w:start w:val="1"/>
      <w:numFmt w:val="bullet"/>
      <w:lvlText w:val="•"/>
      <w:lvlJc w:val="left"/>
      <w:pPr>
        <w:ind w:left="2505" w:hanging="176"/>
      </w:pPr>
      <w:rPr>
        <w:rFonts w:hint="default"/>
      </w:rPr>
    </w:lvl>
    <w:lvl w:ilvl="3" w:tplc="CD50F8DC">
      <w:start w:val="1"/>
      <w:numFmt w:val="bullet"/>
      <w:lvlText w:val="•"/>
      <w:lvlJc w:val="left"/>
      <w:pPr>
        <w:ind w:left="3418" w:hanging="176"/>
      </w:pPr>
      <w:rPr>
        <w:rFonts w:hint="default"/>
      </w:rPr>
    </w:lvl>
    <w:lvl w:ilvl="4" w:tplc="D2D832E0">
      <w:start w:val="1"/>
      <w:numFmt w:val="bullet"/>
      <w:lvlText w:val="•"/>
      <w:lvlJc w:val="left"/>
      <w:pPr>
        <w:ind w:left="4331" w:hanging="176"/>
      </w:pPr>
      <w:rPr>
        <w:rFonts w:hint="default"/>
      </w:rPr>
    </w:lvl>
    <w:lvl w:ilvl="5" w:tplc="402A17D6">
      <w:start w:val="1"/>
      <w:numFmt w:val="bullet"/>
      <w:lvlText w:val="•"/>
      <w:lvlJc w:val="left"/>
      <w:pPr>
        <w:ind w:left="5244" w:hanging="176"/>
      </w:pPr>
      <w:rPr>
        <w:rFonts w:hint="default"/>
      </w:rPr>
    </w:lvl>
    <w:lvl w:ilvl="6" w:tplc="CE6448F4">
      <w:start w:val="1"/>
      <w:numFmt w:val="bullet"/>
      <w:lvlText w:val="•"/>
      <w:lvlJc w:val="left"/>
      <w:pPr>
        <w:ind w:left="6157" w:hanging="176"/>
      </w:pPr>
      <w:rPr>
        <w:rFonts w:hint="default"/>
      </w:rPr>
    </w:lvl>
    <w:lvl w:ilvl="7" w:tplc="08B466C6">
      <w:start w:val="1"/>
      <w:numFmt w:val="bullet"/>
      <w:lvlText w:val="•"/>
      <w:lvlJc w:val="left"/>
      <w:pPr>
        <w:ind w:left="7070" w:hanging="176"/>
      </w:pPr>
      <w:rPr>
        <w:rFonts w:hint="default"/>
      </w:rPr>
    </w:lvl>
    <w:lvl w:ilvl="8" w:tplc="3A982530">
      <w:start w:val="1"/>
      <w:numFmt w:val="bullet"/>
      <w:lvlText w:val="•"/>
      <w:lvlJc w:val="left"/>
      <w:pPr>
        <w:ind w:left="7983" w:hanging="176"/>
      </w:pPr>
      <w:rPr>
        <w:rFonts w:hint="default"/>
      </w:rPr>
    </w:lvl>
  </w:abstractNum>
  <w:num w:numId="1" w16cid:durableId="991979613">
    <w:abstractNumId w:val="11"/>
  </w:num>
  <w:num w:numId="2" w16cid:durableId="372115637">
    <w:abstractNumId w:val="12"/>
  </w:num>
  <w:num w:numId="3" w16cid:durableId="823935309">
    <w:abstractNumId w:val="9"/>
  </w:num>
  <w:num w:numId="4" w16cid:durableId="381440296">
    <w:abstractNumId w:val="3"/>
  </w:num>
  <w:num w:numId="5" w16cid:durableId="823351159">
    <w:abstractNumId w:val="2"/>
  </w:num>
  <w:num w:numId="6" w16cid:durableId="1848053856">
    <w:abstractNumId w:val="5"/>
  </w:num>
  <w:num w:numId="7" w16cid:durableId="141430551">
    <w:abstractNumId w:val="6"/>
  </w:num>
  <w:num w:numId="8" w16cid:durableId="1144850901">
    <w:abstractNumId w:val="13"/>
  </w:num>
  <w:num w:numId="9" w16cid:durableId="829710744">
    <w:abstractNumId w:val="14"/>
  </w:num>
  <w:num w:numId="10" w16cid:durableId="1559822453">
    <w:abstractNumId w:val="15"/>
  </w:num>
  <w:num w:numId="11" w16cid:durableId="703990130">
    <w:abstractNumId w:val="10"/>
  </w:num>
  <w:num w:numId="12" w16cid:durableId="834878594">
    <w:abstractNumId w:val="1"/>
  </w:num>
  <w:num w:numId="13" w16cid:durableId="930238320">
    <w:abstractNumId w:val="8"/>
  </w:num>
  <w:num w:numId="14" w16cid:durableId="1206940460">
    <w:abstractNumId w:val="4"/>
  </w:num>
  <w:num w:numId="15" w16cid:durableId="1636719778">
    <w:abstractNumId w:val="16"/>
  </w:num>
  <w:num w:numId="16" w16cid:durableId="849956134">
    <w:abstractNumId w:val="0"/>
  </w:num>
  <w:num w:numId="17" w16cid:durableId="15891960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2D7"/>
    <w:rsid w:val="001572D7"/>
    <w:rsid w:val="00382CB1"/>
    <w:rsid w:val="003C42BA"/>
    <w:rsid w:val="003E01B3"/>
    <w:rsid w:val="00582AFB"/>
    <w:rsid w:val="0067065C"/>
    <w:rsid w:val="00693B15"/>
    <w:rsid w:val="006D069E"/>
    <w:rsid w:val="00730CFD"/>
    <w:rsid w:val="008B69DF"/>
    <w:rsid w:val="00A26237"/>
    <w:rsid w:val="00CB00E2"/>
    <w:rsid w:val="00E61390"/>
    <w:rsid w:val="00F66C9A"/>
    <w:rsid w:val="00FD25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D42ECF"/>
  <w15:docId w15:val="{9F05DCCB-B53C-45AB-9FF9-400EE4FDF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uiPriority w:val="9"/>
    <w:qFormat/>
    <w:pPr>
      <w:ind w:left="119" w:hanging="11"/>
      <w:outlineLvl w:val="0"/>
    </w:pPr>
    <w:rPr>
      <w:rFonts w:ascii="Calibri" w:eastAsia="Calibri" w:hAnsi="Calibri"/>
      <w:b/>
      <w:bCs/>
      <w:sz w:val="24"/>
      <w:szCs w:val="24"/>
    </w:rPr>
  </w:style>
  <w:style w:type="paragraph" w:styleId="2">
    <w:name w:val="heading 2"/>
    <w:basedOn w:val="a"/>
    <w:uiPriority w:val="9"/>
    <w:unhideWhenUsed/>
    <w:qFormat/>
    <w:pPr>
      <w:ind w:left="116" w:hanging="8"/>
      <w:outlineLvl w:val="1"/>
    </w:pPr>
    <w:rPr>
      <w:rFonts w:ascii="Calibri" w:eastAsia="Calibri" w:hAnsi="Calibr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121"/>
      <w:ind w:left="319"/>
    </w:pPr>
    <w:rPr>
      <w:rFonts w:ascii="Calibri" w:eastAsia="Calibri" w:hAnsi="Calibri"/>
    </w:rPr>
  </w:style>
  <w:style w:type="paragraph" w:styleId="20">
    <w:name w:val="toc 2"/>
    <w:basedOn w:val="a"/>
    <w:uiPriority w:val="1"/>
    <w:qFormat/>
    <w:pPr>
      <w:spacing w:before="121"/>
      <w:ind w:left="319"/>
    </w:pPr>
    <w:rPr>
      <w:rFonts w:ascii="Calibri" w:eastAsia="Calibri" w:hAnsi="Calibri"/>
      <w:b/>
      <w:bCs/>
      <w:i/>
    </w:rPr>
  </w:style>
  <w:style w:type="paragraph" w:styleId="a3">
    <w:name w:val="Body Text"/>
    <w:basedOn w:val="a"/>
    <w:uiPriority w:val="1"/>
    <w:qFormat/>
    <w:pPr>
      <w:ind w:left="116" w:hanging="8"/>
    </w:pPr>
    <w:rPr>
      <w:rFonts w:ascii="Calibri" w:eastAsia="Calibri" w:hAnsi="Calibri"/>
      <w:i/>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13</Pages>
  <Words>4682</Words>
  <Characters>26693</Characters>
  <Application>Microsoft Office Word</Application>
  <DocSecurity>0</DocSecurity>
  <Lines>222</Lines>
  <Paragraphs>62</Paragraphs>
  <ScaleCrop>false</ScaleCrop>
  <Company/>
  <LinksUpToDate>false</LinksUpToDate>
  <CharactersWithSpaces>31313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APyatkov</dc:creator>
  <cp:lastModifiedBy>Пользователь</cp:lastModifiedBy>
  <cp:revision>3</cp:revision>
  <dcterms:created xsi:type="dcterms:W3CDTF">2025-09-12T06:10:00Z</dcterms:created>
  <dcterms:modified xsi:type="dcterms:W3CDTF">2025-09-12T06:12:00Z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2024-11-07T00:00:00Z</vt:filetime>
  </property>
  <property fmtid="{D5CDD505-2E9C-101B-9397-08002B2CF9AE}" pid="3" name="LastSaved">
    <vt:filetime>2024-11-07T00:00:00Z</vt:filetime>
  </property>
</Properties>
</file>